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89B7" w14:textId="77777777" w:rsidR="003071A9" w:rsidRDefault="003071A9" w:rsidP="00723BB4">
      <w:pPr>
        <w:spacing w:line="276" w:lineRule="auto"/>
        <w:jc w:val="both"/>
      </w:pPr>
      <w:bookmarkStart w:id="0" w:name="_GoBack"/>
      <w:bookmarkEnd w:id="0"/>
    </w:p>
    <w:p w14:paraId="7FB6F2F7" w14:textId="77777777" w:rsidR="00C43039" w:rsidRPr="004044BE" w:rsidRDefault="00E2118B" w:rsidP="006E7000">
      <w:pPr>
        <w:spacing w:line="276" w:lineRule="auto"/>
        <w:jc w:val="center"/>
        <w:rPr>
          <w:b/>
        </w:rPr>
      </w:pPr>
      <w:r w:rsidRPr="004044BE">
        <w:rPr>
          <w:b/>
        </w:rPr>
        <w:t>RESULTS OF THE SCREENING OF MORE THAN 6000 CHEMICAL COMPOUNDS IN THE DNIESTER RIVER BASIN*</w:t>
      </w:r>
    </w:p>
    <w:p w14:paraId="2893E47E" w14:textId="77777777" w:rsidR="006E7000" w:rsidRPr="004044BE" w:rsidRDefault="006E7000" w:rsidP="00723BB4">
      <w:pPr>
        <w:spacing w:line="276" w:lineRule="auto"/>
        <w:jc w:val="both"/>
      </w:pPr>
    </w:p>
    <w:p w14:paraId="4CB18BDE" w14:textId="77777777" w:rsidR="00723BB4" w:rsidRPr="004044BE" w:rsidRDefault="00181133" w:rsidP="00723BB4">
      <w:pPr>
        <w:spacing w:line="276" w:lineRule="auto"/>
        <w:jc w:val="both"/>
      </w:pPr>
      <w:r w:rsidRPr="004044BE">
        <w:t xml:space="preserve">A so called </w:t>
      </w:r>
      <w:r w:rsidR="00723BB4" w:rsidRPr="004044BE">
        <w:t xml:space="preserve">wide-scope </w:t>
      </w:r>
      <w:r w:rsidRPr="004044BE">
        <w:rPr>
          <w:rFonts w:cs="Calibri"/>
        </w:rPr>
        <w:t>chemical</w:t>
      </w:r>
      <w:r w:rsidRPr="004044BE">
        <w:rPr>
          <w:rFonts w:cs="Calibri"/>
          <w:b/>
        </w:rPr>
        <w:t xml:space="preserve"> </w:t>
      </w:r>
      <w:r w:rsidR="00723BB4" w:rsidRPr="004044BE">
        <w:t xml:space="preserve">screening </w:t>
      </w:r>
      <w:r w:rsidRPr="004044BE">
        <w:t xml:space="preserve">is one of the steps to develop a system of </w:t>
      </w:r>
      <w:r w:rsidR="00D06A37" w:rsidRPr="004044BE">
        <w:t xml:space="preserve">investigative </w:t>
      </w:r>
      <w:r w:rsidRPr="004044BE">
        <w:t xml:space="preserve">monitoring according to the EU WFD. </w:t>
      </w:r>
      <w:r w:rsidR="00D06A37" w:rsidRPr="004044BE">
        <w:t>M</w:t>
      </w:r>
      <w:r w:rsidRPr="004044BE">
        <w:t xml:space="preserve">ain result </w:t>
      </w:r>
      <w:r w:rsidR="00D06A37" w:rsidRPr="004044BE">
        <w:t xml:space="preserve">of the screening </w:t>
      </w:r>
      <w:r w:rsidRPr="004044BE">
        <w:t xml:space="preserve">is identification </w:t>
      </w:r>
      <w:r w:rsidR="00723BB4" w:rsidRPr="004044BE">
        <w:t xml:space="preserve">of the </w:t>
      </w:r>
      <w:r w:rsidR="00723BB4" w:rsidRPr="004044BE">
        <w:rPr>
          <w:b/>
        </w:rPr>
        <w:t xml:space="preserve">Dniester </w:t>
      </w:r>
      <w:r w:rsidR="00D06A37" w:rsidRPr="004044BE">
        <w:rPr>
          <w:b/>
        </w:rPr>
        <w:t>r</w:t>
      </w:r>
      <w:r w:rsidR="00723BB4" w:rsidRPr="004044BE">
        <w:rPr>
          <w:b/>
        </w:rPr>
        <w:t xml:space="preserve">iver </w:t>
      </w:r>
      <w:r w:rsidR="00D06A37" w:rsidRPr="004044BE">
        <w:rPr>
          <w:b/>
        </w:rPr>
        <w:t>b</w:t>
      </w:r>
      <w:r w:rsidR="00723BB4" w:rsidRPr="004044BE">
        <w:rPr>
          <w:b/>
        </w:rPr>
        <w:t xml:space="preserve">asin </w:t>
      </w:r>
      <w:r w:rsidR="00D06A37" w:rsidRPr="004044BE">
        <w:rPr>
          <w:b/>
        </w:rPr>
        <w:t>s</w:t>
      </w:r>
      <w:r w:rsidR="00723BB4" w:rsidRPr="004044BE">
        <w:rPr>
          <w:b/>
        </w:rPr>
        <w:t xml:space="preserve">pecific </w:t>
      </w:r>
      <w:r w:rsidR="00D06A37" w:rsidRPr="004044BE">
        <w:rPr>
          <w:b/>
        </w:rPr>
        <w:t>p</w:t>
      </w:r>
      <w:r w:rsidR="00723BB4" w:rsidRPr="004044BE">
        <w:rPr>
          <w:b/>
        </w:rPr>
        <w:t>ollutants</w:t>
      </w:r>
      <w:r w:rsidR="00D06A37" w:rsidRPr="004044BE">
        <w:rPr>
          <w:b/>
        </w:rPr>
        <w:t xml:space="preserve"> </w:t>
      </w:r>
      <w:r w:rsidR="00D06A37" w:rsidRPr="004044BE">
        <w:t>(RBSP)</w:t>
      </w:r>
      <w:r w:rsidR="00723BB4" w:rsidRPr="004044BE">
        <w:t xml:space="preserve">. </w:t>
      </w:r>
    </w:p>
    <w:p w14:paraId="524F922C" w14:textId="77777777" w:rsidR="00723BB4" w:rsidRPr="004044BE" w:rsidRDefault="00723BB4" w:rsidP="00B07886">
      <w:pPr>
        <w:autoSpaceDE w:val="0"/>
        <w:autoSpaceDN w:val="0"/>
        <w:adjustRightInd w:val="0"/>
        <w:jc w:val="both"/>
        <w:rPr>
          <w:rFonts w:cs="Calibri"/>
        </w:rPr>
      </w:pPr>
    </w:p>
    <w:p w14:paraId="51A7899C" w14:textId="77777777" w:rsidR="00181133" w:rsidRPr="004044BE" w:rsidRDefault="006E7000" w:rsidP="006E7000">
      <w:pPr>
        <w:autoSpaceDE w:val="0"/>
        <w:autoSpaceDN w:val="0"/>
        <w:adjustRightInd w:val="0"/>
        <w:jc w:val="both"/>
        <w:rPr>
          <w:rFonts w:cs="Calibri"/>
        </w:rPr>
      </w:pPr>
      <w:r w:rsidRPr="004044BE">
        <w:rPr>
          <w:rFonts w:cs="Calibri"/>
        </w:rPr>
        <w:t>Screening was done for</w:t>
      </w:r>
      <w:r w:rsidR="00181133" w:rsidRPr="004044BE">
        <w:rPr>
          <w:rFonts w:cs="Calibri"/>
        </w:rPr>
        <w:t xml:space="preserve"> 13 </w:t>
      </w:r>
      <w:r w:rsidRPr="004044BE">
        <w:rPr>
          <w:rFonts w:cs="Calibri"/>
        </w:rPr>
        <w:t xml:space="preserve">samples </w:t>
      </w:r>
      <w:r w:rsidR="00181133" w:rsidRPr="004044BE">
        <w:rPr>
          <w:rFonts w:cs="Calibri"/>
        </w:rPr>
        <w:t xml:space="preserve">of surface water, 3 </w:t>
      </w:r>
      <w:r w:rsidRPr="004044BE">
        <w:rPr>
          <w:rFonts w:cs="Calibri"/>
        </w:rPr>
        <w:t xml:space="preserve">samples </w:t>
      </w:r>
      <w:r w:rsidR="00181133" w:rsidRPr="004044BE">
        <w:rPr>
          <w:rFonts w:cs="Calibri"/>
        </w:rPr>
        <w:t xml:space="preserve">of biota (fish), and 13 </w:t>
      </w:r>
      <w:r w:rsidRPr="004044BE">
        <w:rPr>
          <w:rFonts w:cs="Calibri"/>
        </w:rPr>
        <w:t xml:space="preserve">samples </w:t>
      </w:r>
      <w:r w:rsidR="00181133" w:rsidRPr="004044BE">
        <w:rPr>
          <w:rFonts w:cs="Calibri"/>
        </w:rPr>
        <w:t xml:space="preserve">of sediment. </w:t>
      </w:r>
      <w:r w:rsidR="00957D88" w:rsidRPr="004044BE">
        <w:rPr>
          <w:rFonts w:cs="Calibri"/>
        </w:rPr>
        <w:t>The sampling sites were:</w:t>
      </w:r>
    </w:p>
    <w:p w14:paraId="23570788" w14:textId="77777777" w:rsidR="00957D88" w:rsidRPr="004044BE" w:rsidRDefault="00957D88" w:rsidP="00957D88">
      <w:pPr>
        <w:pStyle w:val="a3"/>
        <w:numPr>
          <w:ilvl w:val="0"/>
          <w:numId w:val="6"/>
        </w:numPr>
        <w:jc w:val="both"/>
        <w:rPr>
          <w:szCs w:val="20"/>
        </w:rPr>
      </w:pPr>
      <w:r w:rsidRPr="004044BE">
        <w:rPr>
          <w:szCs w:val="20"/>
          <w:lang w:val="en-GB"/>
        </w:rPr>
        <w:t>Dniester – headwaters, upstream  village Vovche, Ukraine</w:t>
      </w:r>
      <w:r w:rsidR="006E7000" w:rsidRPr="004044BE">
        <w:rPr>
          <w:szCs w:val="20"/>
          <w:lang w:val="en-GB"/>
        </w:rPr>
        <w:t>,</w:t>
      </w:r>
    </w:p>
    <w:p w14:paraId="5CC8A86C" w14:textId="77777777" w:rsidR="00957D88" w:rsidRPr="004044BE" w:rsidRDefault="00957D88" w:rsidP="00957D88">
      <w:pPr>
        <w:pStyle w:val="a3"/>
        <w:numPr>
          <w:ilvl w:val="0"/>
          <w:numId w:val="6"/>
        </w:numPr>
        <w:jc w:val="both"/>
        <w:rPr>
          <w:szCs w:val="20"/>
        </w:rPr>
      </w:pPr>
      <w:r w:rsidRPr="004044BE">
        <w:rPr>
          <w:szCs w:val="20"/>
          <w:lang w:val="en-GB"/>
        </w:rPr>
        <w:t>Dniester - Zalishchyky, upstream  the Dniester reservoir, Ukraine</w:t>
      </w:r>
      <w:r w:rsidR="006E7000" w:rsidRPr="004044BE">
        <w:rPr>
          <w:szCs w:val="20"/>
          <w:lang w:val="en-GB"/>
        </w:rPr>
        <w:t>,</w:t>
      </w:r>
    </w:p>
    <w:p w14:paraId="18F22408" w14:textId="77777777" w:rsidR="00957D88" w:rsidRPr="004044BE" w:rsidRDefault="00957D88" w:rsidP="00957D88">
      <w:pPr>
        <w:pStyle w:val="a3"/>
        <w:numPr>
          <w:ilvl w:val="0"/>
          <w:numId w:val="6"/>
        </w:numPr>
        <w:jc w:val="both"/>
        <w:rPr>
          <w:szCs w:val="20"/>
        </w:rPr>
      </w:pPr>
      <w:r w:rsidRPr="004044BE">
        <w:rPr>
          <w:szCs w:val="20"/>
          <w:lang w:val="en-GB"/>
        </w:rPr>
        <w:t>Dniester – downstream Soroki, Moldova/Ukraine</w:t>
      </w:r>
      <w:r w:rsidR="006E7000" w:rsidRPr="004044BE">
        <w:rPr>
          <w:szCs w:val="20"/>
          <w:lang w:val="en-GB"/>
        </w:rPr>
        <w:t>,</w:t>
      </w:r>
    </w:p>
    <w:p w14:paraId="1C5D16DB" w14:textId="77777777" w:rsidR="00957D88" w:rsidRPr="004044BE" w:rsidRDefault="00957D88" w:rsidP="00957D88">
      <w:pPr>
        <w:pStyle w:val="a3"/>
        <w:numPr>
          <w:ilvl w:val="0"/>
          <w:numId w:val="6"/>
        </w:numPr>
        <w:jc w:val="both"/>
        <w:rPr>
          <w:szCs w:val="20"/>
        </w:rPr>
      </w:pPr>
      <w:r w:rsidRPr="004044BE">
        <w:rPr>
          <w:szCs w:val="20"/>
          <w:lang w:val="en-GB"/>
        </w:rPr>
        <w:t>Dniester – downstream  Rybnits</w:t>
      </w:r>
      <w:r w:rsidR="006E7000" w:rsidRPr="004044BE">
        <w:rPr>
          <w:szCs w:val="20"/>
          <w:lang w:val="en-GB"/>
        </w:rPr>
        <w:t>a/Rezyna or Dubossary reservoir</w:t>
      </w:r>
      <w:r w:rsidRPr="004044BE">
        <w:rPr>
          <w:szCs w:val="20"/>
          <w:lang w:val="en-GB"/>
        </w:rPr>
        <w:t>, Moldova</w:t>
      </w:r>
      <w:r w:rsidR="006E7000" w:rsidRPr="004044BE">
        <w:rPr>
          <w:szCs w:val="20"/>
          <w:lang w:val="en-GB"/>
        </w:rPr>
        <w:t>,</w:t>
      </w:r>
    </w:p>
    <w:p w14:paraId="3A42A221" w14:textId="77777777" w:rsidR="00957D88" w:rsidRPr="004044BE" w:rsidRDefault="00957D88" w:rsidP="00957D88">
      <w:pPr>
        <w:pStyle w:val="a3"/>
        <w:numPr>
          <w:ilvl w:val="0"/>
          <w:numId w:val="6"/>
        </w:numPr>
        <w:jc w:val="both"/>
        <w:rPr>
          <w:szCs w:val="20"/>
        </w:rPr>
      </w:pPr>
      <w:r w:rsidRPr="004044BE">
        <w:rPr>
          <w:szCs w:val="20"/>
          <w:lang w:val="en-GB"/>
        </w:rPr>
        <w:t>Dniester - opposite to Chobruchi village below Tiraspol / Bendery, Moldova</w:t>
      </w:r>
      <w:r w:rsidR="006E7000" w:rsidRPr="004044BE">
        <w:rPr>
          <w:szCs w:val="20"/>
          <w:lang w:val="en-GB"/>
        </w:rPr>
        <w:t>,</w:t>
      </w:r>
    </w:p>
    <w:p w14:paraId="2952AC46" w14:textId="77777777" w:rsidR="00957D88" w:rsidRPr="004044BE" w:rsidRDefault="00957D88" w:rsidP="00957D88">
      <w:pPr>
        <w:pStyle w:val="a3"/>
        <w:numPr>
          <w:ilvl w:val="0"/>
          <w:numId w:val="6"/>
        </w:numPr>
        <w:jc w:val="both"/>
        <w:rPr>
          <w:szCs w:val="20"/>
        </w:rPr>
      </w:pPr>
      <w:r w:rsidRPr="004044BE">
        <w:rPr>
          <w:szCs w:val="20"/>
          <w:lang w:val="en-GB"/>
        </w:rPr>
        <w:t>Dniester Lyman – near Belgorod-Dniestrovskiy, Ukraine</w:t>
      </w:r>
      <w:r w:rsidR="006E7000" w:rsidRPr="004044BE">
        <w:rPr>
          <w:szCs w:val="20"/>
          <w:lang w:val="en-GB"/>
        </w:rPr>
        <w:t>,</w:t>
      </w:r>
    </w:p>
    <w:p w14:paraId="63A7BC90" w14:textId="77777777" w:rsidR="00957D88" w:rsidRPr="004044BE" w:rsidRDefault="00957D88" w:rsidP="00957D88">
      <w:pPr>
        <w:pStyle w:val="a3"/>
        <w:numPr>
          <w:ilvl w:val="0"/>
          <w:numId w:val="6"/>
        </w:numPr>
        <w:jc w:val="both"/>
        <w:rPr>
          <w:szCs w:val="20"/>
        </w:rPr>
      </w:pPr>
      <w:r w:rsidRPr="004044BE">
        <w:rPr>
          <w:szCs w:val="20"/>
          <w:lang w:val="en-GB"/>
        </w:rPr>
        <w:t>Bystritsa -  downstream  Ivano-Frankivsk, Ukraine</w:t>
      </w:r>
      <w:r w:rsidR="006E7000" w:rsidRPr="004044BE">
        <w:rPr>
          <w:szCs w:val="20"/>
          <w:lang w:val="en-GB"/>
        </w:rPr>
        <w:t>,</w:t>
      </w:r>
    </w:p>
    <w:p w14:paraId="34F9D6ED" w14:textId="77777777" w:rsidR="00957D88" w:rsidRPr="004044BE" w:rsidRDefault="00957D88" w:rsidP="00957D88">
      <w:pPr>
        <w:pStyle w:val="a3"/>
        <w:numPr>
          <w:ilvl w:val="0"/>
          <w:numId w:val="6"/>
        </w:numPr>
        <w:jc w:val="both"/>
        <w:rPr>
          <w:szCs w:val="20"/>
        </w:rPr>
      </w:pPr>
      <w:r w:rsidRPr="004044BE">
        <w:rPr>
          <w:szCs w:val="20"/>
          <w:lang w:val="en-GB"/>
        </w:rPr>
        <w:t>Tismenitsa – mouth , Ukraine</w:t>
      </w:r>
      <w:r w:rsidR="006E7000" w:rsidRPr="004044BE">
        <w:rPr>
          <w:szCs w:val="20"/>
          <w:lang w:val="en-GB"/>
        </w:rPr>
        <w:t>,</w:t>
      </w:r>
    </w:p>
    <w:p w14:paraId="6FB70A2D" w14:textId="77777777" w:rsidR="00957D88" w:rsidRPr="004044BE" w:rsidRDefault="00957D88" w:rsidP="00957D88">
      <w:pPr>
        <w:pStyle w:val="a3"/>
        <w:numPr>
          <w:ilvl w:val="0"/>
          <w:numId w:val="6"/>
        </w:numPr>
        <w:jc w:val="both"/>
        <w:rPr>
          <w:szCs w:val="20"/>
        </w:rPr>
      </w:pPr>
      <w:r w:rsidRPr="004044BE">
        <w:rPr>
          <w:szCs w:val="20"/>
          <w:lang w:val="en-GB"/>
        </w:rPr>
        <w:t>Mohyliv-Podilsky, Ukraine</w:t>
      </w:r>
      <w:r w:rsidR="006E7000" w:rsidRPr="004044BE">
        <w:rPr>
          <w:szCs w:val="20"/>
          <w:lang w:val="en-GB"/>
        </w:rPr>
        <w:t>,</w:t>
      </w:r>
    </w:p>
    <w:p w14:paraId="5C0E5682" w14:textId="77777777" w:rsidR="00957D88" w:rsidRPr="004044BE" w:rsidRDefault="00957D88" w:rsidP="00957D88">
      <w:pPr>
        <w:pStyle w:val="a3"/>
        <w:numPr>
          <w:ilvl w:val="0"/>
          <w:numId w:val="6"/>
        </w:numPr>
        <w:jc w:val="both"/>
        <w:rPr>
          <w:szCs w:val="20"/>
        </w:rPr>
      </w:pPr>
      <w:r w:rsidRPr="004044BE">
        <w:rPr>
          <w:szCs w:val="20"/>
          <w:lang w:val="en-GB"/>
        </w:rPr>
        <w:t>Seret – mouth, Ukraine</w:t>
      </w:r>
      <w:r w:rsidR="006E7000" w:rsidRPr="004044BE">
        <w:rPr>
          <w:szCs w:val="20"/>
          <w:lang w:val="en-GB"/>
        </w:rPr>
        <w:t>,</w:t>
      </w:r>
    </w:p>
    <w:p w14:paraId="2D19A44D" w14:textId="77777777" w:rsidR="00957D88" w:rsidRPr="004044BE" w:rsidRDefault="00957D88" w:rsidP="00957D88">
      <w:pPr>
        <w:pStyle w:val="a3"/>
        <w:numPr>
          <w:ilvl w:val="0"/>
          <w:numId w:val="6"/>
        </w:numPr>
        <w:jc w:val="both"/>
        <w:rPr>
          <w:szCs w:val="20"/>
        </w:rPr>
      </w:pPr>
      <w:r w:rsidRPr="004044BE">
        <w:rPr>
          <w:szCs w:val="20"/>
          <w:lang w:val="en-GB"/>
        </w:rPr>
        <w:t>Byk –mouth  (downstream  Chisinau  wastewater outlet), Moldova</w:t>
      </w:r>
      <w:r w:rsidR="006E7000" w:rsidRPr="004044BE">
        <w:rPr>
          <w:szCs w:val="20"/>
          <w:lang w:val="en-GB"/>
        </w:rPr>
        <w:t>,</w:t>
      </w:r>
    </w:p>
    <w:p w14:paraId="4BC0E71A" w14:textId="77777777" w:rsidR="00957D88" w:rsidRPr="004044BE" w:rsidRDefault="006E7000" w:rsidP="00957D88">
      <w:pPr>
        <w:pStyle w:val="a3"/>
        <w:numPr>
          <w:ilvl w:val="0"/>
          <w:numId w:val="6"/>
        </w:numPr>
        <w:jc w:val="both"/>
        <w:rPr>
          <w:szCs w:val="20"/>
        </w:rPr>
      </w:pPr>
      <w:r w:rsidRPr="004044BE">
        <w:rPr>
          <w:szCs w:val="20"/>
          <w:lang w:val="en-GB"/>
        </w:rPr>
        <w:t>Reut – mouth</w:t>
      </w:r>
      <w:r w:rsidR="00957D88" w:rsidRPr="004044BE">
        <w:rPr>
          <w:szCs w:val="20"/>
          <w:lang w:val="en-GB"/>
        </w:rPr>
        <w:t>, Moldova</w:t>
      </w:r>
      <w:r w:rsidRPr="004044BE">
        <w:rPr>
          <w:szCs w:val="20"/>
          <w:lang w:val="en-GB"/>
        </w:rPr>
        <w:t>,</w:t>
      </w:r>
    </w:p>
    <w:p w14:paraId="426EB513" w14:textId="77777777" w:rsidR="00957D88" w:rsidRPr="004044BE" w:rsidRDefault="00957D88" w:rsidP="00957D88">
      <w:pPr>
        <w:pStyle w:val="a3"/>
        <w:numPr>
          <w:ilvl w:val="0"/>
          <w:numId w:val="6"/>
        </w:numPr>
        <w:jc w:val="both"/>
        <w:rPr>
          <w:szCs w:val="20"/>
        </w:rPr>
      </w:pPr>
      <w:r w:rsidRPr="004044BE">
        <w:rPr>
          <w:szCs w:val="20"/>
          <w:lang w:val="en-GB"/>
        </w:rPr>
        <w:t>Kuchurgan reservoir – Ukraine/Moldova</w:t>
      </w:r>
      <w:r w:rsidR="00684FC6" w:rsidRPr="004044BE">
        <w:rPr>
          <w:szCs w:val="20"/>
          <w:lang w:val="en-GB"/>
        </w:rPr>
        <w:t>.</w:t>
      </w:r>
    </w:p>
    <w:p w14:paraId="2C257192" w14:textId="77777777" w:rsidR="00181133" w:rsidRPr="004044BE" w:rsidRDefault="00181133" w:rsidP="00723BB4">
      <w:pPr>
        <w:spacing w:line="276" w:lineRule="auto"/>
        <w:jc w:val="both"/>
        <w:rPr>
          <w:rFonts w:cs="Calibri"/>
        </w:rPr>
      </w:pPr>
    </w:p>
    <w:p w14:paraId="3382B572" w14:textId="77777777" w:rsidR="007F1D15" w:rsidRPr="004044BE" w:rsidRDefault="007F1D15" w:rsidP="007F1D15">
      <w:pPr>
        <w:autoSpaceDE w:val="0"/>
        <w:autoSpaceDN w:val="0"/>
        <w:adjustRightInd w:val="0"/>
        <w:jc w:val="both"/>
        <w:rPr>
          <w:rFonts w:cs="Calibri"/>
        </w:rPr>
      </w:pPr>
      <w:r w:rsidRPr="004044BE">
        <w:rPr>
          <w:rFonts w:cs="Calibri"/>
        </w:rPr>
        <w:t>The survey tasks were to:</w:t>
      </w:r>
    </w:p>
    <w:p w14:paraId="3877B43A" w14:textId="77777777" w:rsidR="007F1D15" w:rsidRPr="004044BE" w:rsidRDefault="007F1D15" w:rsidP="007F1D15">
      <w:pPr>
        <w:pStyle w:val="a3"/>
        <w:numPr>
          <w:ilvl w:val="0"/>
          <w:numId w:val="8"/>
        </w:numPr>
        <w:autoSpaceDE w:val="0"/>
        <w:autoSpaceDN w:val="0"/>
        <w:adjustRightInd w:val="0"/>
        <w:jc w:val="both"/>
        <w:rPr>
          <w:rFonts w:cs="Calibri"/>
        </w:rPr>
      </w:pPr>
      <w:r w:rsidRPr="008226DC">
        <w:rPr>
          <w:rFonts w:cs="Calibri"/>
          <w:b/>
        </w:rPr>
        <w:t>investigate</w:t>
      </w:r>
      <w:r w:rsidRPr="004044BE">
        <w:rPr>
          <w:rFonts w:cs="Calibri"/>
        </w:rPr>
        <w:t xml:space="preserve"> </w:t>
      </w:r>
      <w:r w:rsidRPr="004044BE">
        <w:rPr>
          <w:rFonts w:cs="Calibri"/>
          <w:b/>
        </w:rPr>
        <w:t>metals</w:t>
      </w:r>
      <w:r w:rsidRPr="004044BE">
        <w:rPr>
          <w:rFonts w:cs="Calibri"/>
        </w:rPr>
        <w:t xml:space="preserve"> in 13 surface water samples for 5 selected metals (As, Hg, Zn, Cu, and Cr) and in 13 sediments samples for 8 selected metals (As, Hg, Zn, Cu, Cr, Cd, Pb, and Ni)</w:t>
      </w:r>
    </w:p>
    <w:p w14:paraId="6349D86E" w14:textId="347A6338" w:rsidR="007F1D15" w:rsidRPr="004044BE" w:rsidRDefault="007F1D15" w:rsidP="007F1D15">
      <w:pPr>
        <w:pStyle w:val="a3"/>
        <w:numPr>
          <w:ilvl w:val="0"/>
          <w:numId w:val="8"/>
        </w:numPr>
        <w:autoSpaceDE w:val="0"/>
        <w:autoSpaceDN w:val="0"/>
        <w:adjustRightInd w:val="0"/>
        <w:jc w:val="both"/>
        <w:rPr>
          <w:rFonts w:cs="Calibri"/>
        </w:rPr>
      </w:pPr>
      <w:r w:rsidRPr="008226DC">
        <w:rPr>
          <w:rFonts w:cs="Calibri"/>
          <w:b/>
        </w:rPr>
        <w:t>perform</w:t>
      </w:r>
      <w:r w:rsidRPr="004044BE">
        <w:rPr>
          <w:rFonts w:cs="Calibri"/>
        </w:rPr>
        <w:t xml:space="preserve"> </w:t>
      </w:r>
      <w:r w:rsidR="00C72E4D" w:rsidRPr="004044BE">
        <w:rPr>
          <w:rFonts w:cs="Calibri"/>
          <w:b/>
        </w:rPr>
        <w:t>screening</w:t>
      </w:r>
      <w:r w:rsidR="00C72E4D" w:rsidRPr="004044BE">
        <w:rPr>
          <w:rFonts w:cs="Calibri"/>
        </w:rPr>
        <w:t xml:space="preserve"> of </w:t>
      </w:r>
      <w:r w:rsidRPr="004044BE">
        <w:rPr>
          <w:rFonts w:cs="Calibri"/>
        </w:rPr>
        <w:t>13 surface water, 4 sediment and 3 biota</w:t>
      </w:r>
      <w:r w:rsidR="008226DC" w:rsidRPr="008226DC">
        <w:rPr>
          <w:rFonts w:cs="Calibri"/>
          <w:lang w:val="en-GB"/>
        </w:rPr>
        <w:t xml:space="preserve"> </w:t>
      </w:r>
      <w:r w:rsidR="008226DC">
        <w:rPr>
          <w:rFonts w:cs="Calibri"/>
        </w:rPr>
        <w:t>samples</w:t>
      </w:r>
      <w:r w:rsidR="00C72E4D" w:rsidRPr="004044BE">
        <w:rPr>
          <w:rFonts w:cs="Calibri"/>
        </w:rPr>
        <w:t>. Two types of screening were done</w:t>
      </w:r>
      <w:r w:rsidRPr="004044BE">
        <w:rPr>
          <w:rFonts w:cs="Calibri"/>
        </w:rPr>
        <w:t xml:space="preserve"> </w:t>
      </w:r>
    </w:p>
    <w:p w14:paraId="2300D91E" w14:textId="77777777" w:rsidR="007F1D15" w:rsidRPr="004044BE" w:rsidRDefault="007F1D15" w:rsidP="007F1D15">
      <w:pPr>
        <w:pStyle w:val="a3"/>
        <w:numPr>
          <w:ilvl w:val="0"/>
          <w:numId w:val="9"/>
        </w:numPr>
        <w:autoSpaceDE w:val="0"/>
        <w:autoSpaceDN w:val="0"/>
        <w:adjustRightInd w:val="0"/>
        <w:ind w:left="1134" w:hanging="425"/>
        <w:jc w:val="both"/>
        <w:rPr>
          <w:rFonts w:cs="Calibri"/>
        </w:rPr>
      </w:pPr>
      <w:r w:rsidRPr="004044BE">
        <w:rPr>
          <w:rFonts w:cs="Calibri"/>
        </w:rPr>
        <w:t xml:space="preserve">target screening </w:t>
      </w:r>
      <w:r w:rsidR="00D06A37" w:rsidRPr="004044BE">
        <w:rPr>
          <w:rFonts w:cs="Calibri"/>
        </w:rPr>
        <w:t xml:space="preserve">for </w:t>
      </w:r>
      <w:r w:rsidRPr="004044BE">
        <w:rPr>
          <w:rFonts w:cs="Calibri"/>
        </w:rPr>
        <w:t>20</w:t>
      </w:r>
      <w:r w:rsidR="00401976" w:rsidRPr="004044BE">
        <w:rPr>
          <w:rFonts w:cs="Calibri"/>
        </w:rPr>
        <w:t>16</w:t>
      </w:r>
      <w:r w:rsidRPr="004044BE">
        <w:rPr>
          <w:rFonts w:cs="Calibri"/>
        </w:rPr>
        <w:t xml:space="preserve"> substances</w:t>
      </w:r>
      <w:r w:rsidR="00C72E4D" w:rsidRPr="004044BE">
        <w:rPr>
          <w:rFonts w:cs="Calibri"/>
        </w:rPr>
        <w:t>,</w:t>
      </w:r>
    </w:p>
    <w:p w14:paraId="72960F9D" w14:textId="77777777" w:rsidR="007F1D15" w:rsidRPr="004044BE" w:rsidRDefault="007F1D15" w:rsidP="007F1D15">
      <w:pPr>
        <w:pStyle w:val="a3"/>
        <w:numPr>
          <w:ilvl w:val="0"/>
          <w:numId w:val="9"/>
        </w:numPr>
        <w:autoSpaceDE w:val="0"/>
        <w:autoSpaceDN w:val="0"/>
        <w:adjustRightInd w:val="0"/>
        <w:ind w:left="1134" w:hanging="425"/>
        <w:jc w:val="both"/>
        <w:rPr>
          <w:rFonts w:cs="Calibri"/>
        </w:rPr>
      </w:pPr>
      <w:r w:rsidRPr="004044BE">
        <w:rPr>
          <w:rFonts w:cs="Calibri"/>
        </w:rPr>
        <w:t xml:space="preserve">non-target suspect screening </w:t>
      </w:r>
      <w:r w:rsidR="00D06A37" w:rsidRPr="004044BE">
        <w:rPr>
          <w:rFonts w:cs="Calibri"/>
        </w:rPr>
        <w:t xml:space="preserve">for </w:t>
      </w:r>
      <w:r w:rsidRPr="004044BE">
        <w:rPr>
          <w:rFonts w:cs="Calibri"/>
        </w:rPr>
        <w:t xml:space="preserve">6152 compounds. </w:t>
      </w:r>
    </w:p>
    <w:p w14:paraId="01E1F153" w14:textId="77777777" w:rsidR="00C72E4D" w:rsidRPr="004044BE" w:rsidRDefault="00C72E4D" w:rsidP="007F1D15">
      <w:pPr>
        <w:autoSpaceDE w:val="0"/>
        <w:autoSpaceDN w:val="0"/>
        <w:adjustRightInd w:val="0"/>
        <w:jc w:val="both"/>
        <w:rPr>
          <w:rFonts w:cs="Calibri"/>
        </w:rPr>
      </w:pPr>
    </w:p>
    <w:p w14:paraId="53F3B739" w14:textId="18B33D51" w:rsidR="00723BB4" w:rsidRPr="004044BE" w:rsidRDefault="00D06A37" w:rsidP="00723BB4">
      <w:pPr>
        <w:spacing w:line="276" w:lineRule="auto"/>
        <w:jc w:val="both"/>
      </w:pPr>
      <w:r w:rsidRPr="004044BE">
        <w:t>A</w:t>
      </w:r>
      <w:r w:rsidR="00723BB4" w:rsidRPr="004044BE">
        <w:t xml:space="preserve"> top rank of </w:t>
      </w:r>
      <w:r w:rsidR="00885AE7" w:rsidRPr="004044BE">
        <w:t xml:space="preserve">10 </w:t>
      </w:r>
      <w:r w:rsidR="00723BB4" w:rsidRPr="004044BE">
        <w:t>compounds that could pose a risk for the environment</w:t>
      </w:r>
      <w:r w:rsidRPr="004044BE">
        <w:t xml:space="preserve"> </w:t>
      </w:r>
      <w:r w:rsidR="00723BB4" w:rsidRPr="004044BE">
        <w:t xml:space="preserve">was done taking into account four main parameters: </w:t>
      </w:r>
    </w:p>
    <w:p w14:paraId="47C8D6C8" w14:textId="77777777" w:rsidR="00723BB4" w:rsidRPr="004044BE" w:rsidRDefault="00723BB4" w:rsidP="00723BB4">
      <w:pPr>
        <w:pStyle w:val="a3"/>
        <w:numPr>
          <w:ilvl w:val="0"/>
          <w:numId w:val="3"/>
        </w:numPr>
        <w:spacing w:line="276" w:lineRule="auto"/>
        <w:jc w:val="both"/>
      </w:pPr>
      <w:r w:rsidRPr="004044BE">
        <w:t>exceedance over PNEC value (if exists)</w:t>
      </w:r>
      <w:r w:rsidR="00684FC6" w:rsidRPr="004044BE">
        <w:t>,</w:t>
      </w:r>
    </w:p>
    <w:p w14:paraId="7EE495A9" w14:textId="77777777" w:rsidR="00723BB4" w:rsidRPr="004044BE" w:rsidRDefault="00723BB4" w:rsidP="00723BB4">
      <w:pPr>
        <w:pStyle w:val="a3"/>
        <w:numPr>
          <w:ilvl w:val="0"/>
          <w:numId w:val="3"/>
        </w:numPr>
        <w:spacing w:line="276" w:lineRule="auto"/>
        <w:jc w:val="both"/>
      </w:pPr>
      <w:r w:rsidRPr="004044BE">
        <w:t>frequency of exceedance (FoE)</w:t>
      </w:r>
      <w:r w:rsidR="00684FC6" w:rsidRPr="004044BE">
        <w:t>,</w:t>
      </w:r>
    </w:p>
    <w:p w14:paraId="224E80E3" w14:textId="77777777" w:rsidR="00723BB4" w:rsidRPr="004044BE" w:rsidRDefault="00DE548F" w:rsidP="00723BB4">
      <w:pPr>
        <w:pStyle w:val="a3"/>
        <w:numPr>
          <w:ilvl w:val="0"/>
          <w:numId w:val="3"/>
        </w:numPr>
        <w:spacing w:line="276" w:lineRule="auto"/>
        <w:jc w:val="both"/>
      </w:pPr>
      <w:r w:rsidRPr="004044BE">
        <w:t>frequency of appearance (FoA)</w:t>
      </w:r>
      <w:r w:rsidR="00684FC6" w:rsidRPr="004044BE">
        <w:t>,</w:t>
      </w:r>
    </w:p>
    <w:p w14:paraId="38B34E1F" w14:textId="77777777" w:rsidR="00723BB4" w:rsidRPr="004044BE" w:rsidRDefault="00DE548F" w:rsidP="00723BB4">
      <w:pPr>
        <w:pStyle w:val="a3"/>
        <w:numPr>
          <w:ilvl w:val="0"/>
          <w:numId w:val="3"/>
        </w:numPr>
        <w:spacing w:line="276" w:lineRule="auto"/>
        <w:jc w:val="both"/>
      </w:pPr>
      <w:r w:rsidRPr="004044BE">
        <w:t>incredible high concentration over 4 ug/l</w:t>
      </w:r>
      <w:r w:rsidR="00723BB4" w:rsidRPr="004044BE">
        <w:t>.</w:t>
      </w:r>
    </w:p>
    <w:p w14:paraId="51C8C3F1" w14:textId="77777777" w:rsidR="00E2118B" w:rsidRPr="004044BE" w:rsidRDefault="00E2118B" w:rsidP="00E2118B">
      <w:pPr>
        <w:spacing w:line="276" w:lineRule="auto"/>
        <w:jc w:val="both"/>
      </w:pPr>
    </w:p>
    <w:p w14:paraId="1E11D5BC" w14:textId="284DD8C9" w:rsidR="00E2118B" w:rsidRPr="004044BE" w:rsidRDefault="00E2118B" w:rsidP="00E2118B">
      <w:pPr>
        <w:spacing w:line="276" w:lineRule="auto"/>
        <w:jc w:val="both"/>
      </w:pPr>
      <w:r w:rsidRPr="004044BE">
        <w:t xml:space="preserve">The current view on the presence of target compounds that were detected in at least one sample is displayed in the pie chart, where the highest percentage belongs to pesticides and pharmaceuticals, in both cases some of them exceeded their PNEC values as well as their FoA was also high &gt;80 percent in </w:t>
      </w:r>
      <w:r w:rsidR="00AC1B96" w:rsidRPr="004044BE">
        <w:t xml:space="preserve">surface </w:t>
      </w:r>
      <w:r w:rsidRPr="004044BE">
        <w:t>water samples.</w:t>
      </w:r>
    </w:p>
    <w:p w14:paraId="2D415754" w14:textId="77777777" w:rsidR="00E2118B" w:rsidRPr="004044BE" w:rsidRDefault="00E2118B" w:rsidP="00E2118B">
      <w:pPr>
        <w:spacing w:before="60" w:after="60"/>
        <w:jc w:val="both"/>
      </w:pPr>
    </w:p>
    <w:p w14:paraId="3EBFF6AD" w14:textId="77777777" w:rsidR="00E2118B" w:rsidRPr="004044BE" w:rsidRDefault="00E2118B" w:rsidP="00E2118B">
      <w:pPr>
        <w:spacing w:before="60" w:after="60"/>
        <w:jc w:val="center"/>
      </w:pPr>
      <w:r w:rsidRPr="004044BE">
        <w:rPr>
          <w:noProof/>
          <w:lang w:val="en-GB" w:eastAsia="en-GB"/>
        </w:rPr>
        <w:lastRenderedPageBreak/>
        <w:drawing>
          <wp:inline distT="0" distB="0" distL="0" distR="0" wp14:anchorId="5C890E70" wp14:editId="10FBD05B">
            <wp:extent cx="3505200" cy="2597150"/>
            <wp:effectExtent l="0" t="0" r="0" b="12700"/>
            <wp:docPr id="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67176C" w14:textId="77777777" w:rsidR="00E2118B" w:rsidRPr="004044BE" w:rsidRDefault="00E2118B" w:rsidP="00E2118B">
      <w:pPr>
        <w:jc w:val="both"/>
      </w:pPr>
    </w:p>
    <w:p w14:paraId="3EFA7C80" w14:textId="77777777" w:rsidR="00E2118B" w:rsidRPr="004044BE" w:rsidRDefault="00E2118B" w:rsidP="00E2118B"/>
    <w:p w14:paraId="2A87146A" w14:textId="5BFEB013" w:rsidR="00E2118B" w:rsidRPr="004044BE" w:rsidRDefault="00E2118B" w:rsidP="00E2118B">
      <w:pPr>
        <w:spacing w:line="276" w:lineRule="auto"/>
        <w:jc w:val="both"/>
      </w:pPr>
      <w:r w:rsidRPr="004044BE">
        <w:t xml:space="preserve">Based on the obtained results, it can be stated </w:t>
      </w:r>
      <w:r w:rsidRPr="004044BE">
        <w:rPr>
          <w:b/>
        </w:rPr>
        <w:t>that the most polluted sites</w:t>
      </w:r>
      <w:r w:rsidR="00192ED5" w:rsidRPr="004044BE">
        <w:rPr>
          <w:b/>
        </w:rPr>
        <w:t xml:space="preserve"> </w:t>
      </w:r>
      <w:r w:rsidR="00192ED5" w:rsidRPr="004044BE">
        <w:t>(both river basin specific pollutants and metals)</w:t>
      </w:r>
      <w:r w:rsidRPr="004044BE">
        <w:t xml:space="preserve">, where it was registered the highest frequency of exceeding limits values for particular compounds and metals, are as follows: </w:t>
      </w:r>
    </w:p>
    <w:p w14:paraId="1B26FF27" w14:textId="77777777" w:rsidR="00E2118B" w:rsidRPr="004044BE" w:rsidRDefault="00E2118B" w:rsidP="00E2118B">
      <w:pPr>
        <w:pStyle w:val="a3"/>
        <w:spacing w:line="276" w:lineRule="auto"/>
        <w:jc w:val="both"/>
      </w:pPr>
      <w:r w:rsidRPr="004044BE">
        <w:t>SP – 8 (Tismenitsa - Ukraine) - limit values were exceeded 3 times,</w:t>
      </w:r>
    </w:p>
    <w:p w14:paraId="42172A13" w14:textId="77777777" w:rsidR="00E2118B" w:rsidRPr="004044BE" w:rsidRDefault="00E2118B" w:rsidP="00E2118B">
      <w:pPr>
        <w:pStyle w:val="a3"/>
        <w:spacing w:line="276" w:lineRule="auto"/>
        <w:jc w:val="both"/>
      </w:pPr>
      <w:r w:rsidRPr="004044BE">
        <w:t>SP – 9 (Mohyliv – Podilsky, Ukraine) - limit values were exceeded 7 times,</w:t>
      </w:r>
    </w:p>
    <w:p w14:paraId="0DB5E981" w14:textId="77777777" w:rsidR="00E2118B" w:rsidRPr="004044BE" w:rsidRDefault="00E2118B" w:rsidP="00E2118B">
      <w:pPr>
        <w:pStyle w:val="a3"/>
        <w:spacing w:line="276" w:lineRule="auto"/>
        <w:jc w:val="both"/>
      </w:pPr>
      <w:r w:rsidRPr="004044BE">
        <w:t>SP – 10 (Seret – mouth, Ukraine) - limit values were exceeded 2 times.</w:t>
      </w:r>
    </w:p>
    <w:p w14:paraId="16CBC219" w14:textId="77777777" w:rsidR="00E2118B" w:rsidRPr="004044BE" w:rsidRDefault="00E2118B" w:rsidP="00E2118B">
      <w:pPr>
        <w:pStyle w:val="a3"/>
        <w:spacing w:line="276" w:lineRule="auto"/>
        <w:jc w:val="both"/>
      </w:pPr>
      <w:r w:rsidRPr="004044BE">
        <w:t xml:space="preserve">SP – 11 (Byk – mouth, Moldova) – limit values were exceeded 10 times. </w:t>
      </w:r>
      <w:r w:rsidRPr="004044BE">
        <w:rPr>
          <w:rFonts w:cs="Calibri"/>
        </w:rPr>
        <w:t xml:space="preserve">The highest number of detected compounds (71) was observed here </w:t>
      </w:r>
    </w:p>
    <w:p w14:paraId="21E1F075" w14:textId="77777777" w:rsidR="00E2118B" w:rsidRPr="004044BE" w:rsidRDefault="00E2118B" w:rsidP="00E2118B">
      <w:pPr>
        <w:pStyle w:val="a3"/>
        <w:spacing w:line="276" w:lineRule="auto"/>
        <w:jc w:val="both"/>
      </w:pPr>
      <w:r w:rsidRPr="004044BE">
        <w:t>SP – 12 (Reut – mouth, Moldova) - limit values were exceeded 7 times,</w:t>
      </w:r>
    </w:p>
    <w:p w14:paraId="73D274E5" w14:textId="77777777" w:rsidR="00E2118B" w:rsidRPr="004044BE" w:rsidRDefault="00E2118B" w:rsidP="00E2118B">
      <w:pPr>
        <w:spacing w:line="276" w:lineRule="auto"/>
        <w:jc w:val="both"/>
      </w:pPr>
    </w:p>
    <w:p w14:paraId="6BDB5E77" w14:textId="77777777" w:rsidR="00400034" w:rsidRPr="004044BE" w:rsidRDefault="00400034" w:rsidP="00E2118B">
      <w:pPr>
        <w:shd w:val="clear" w:color="auto" w:fill="B8CCE4" w:themeFill="accent1" w:themeFillTint="66"/>
        <w:spacing w:line="276" w:lineRule="auto"/>
        <w:jc w:val="center"/>
        <w:rPr>
          <w:b/>
        </w:rPr>
      </w:pPr>
      <w:r w:rsidRPr="004044BE">
        <w:rPr>
          <w:b/>
        </w:rPr>
        <w:t>Results of the metals analysis</w:t>
      </w:r>
    </w:p>
    <w:p w14:paraId="59C3DD03" w14:textId="77777777" w:rsidR="00400034" w:rsidRPr="004044BE" w:rsidRDefault="00400034" w:rsidP="00D06A37">
      <w:pPr>
        <w:spacing w:line="276" w:lineRule="auto"/>
        <w:jc w:val="both"/>
      </w:pPr>
    </w:p>
    <w:p w14:paraId="4A029794" w14:textId="77777777" w:rsidR="007B763D" w:rsidRPr="004044BE" w:rsidRDefault="00D06A37" w:rsidP="00D06A37">
      <w:pPr>
        <w:spacing w:line="276" w:lineRule="auto"/>
        <w:jc w:val="both"/>
      </w:pPr>
      <w:r w:rsidRPr="004044BE">
        <w:t xml:space="preserve">Results of the metals analysis </w:t>
      </w:r>
      <w:r w:rsidR="007B763D" w:rsidRPr="004044BE">
        <w:t xml:space="preserve">demonstrated that at certain sampling points the following metals should be included to the system of investigative monitoring: </w:t>
      </w:r>
    </w:p>
    <w:p w14:paraId="607DDA49" w14:textId="7F144234" w:rsidR="007B763D" w:rsidRPr="004044BE" w:rsidRDefault="007B763D" w:rsidP="00D06A37">
      <w:pPr>
        <w:pStyle w:val="a3"/>
        <w:numPr>
          <w:ilvl w:val="0"/>
          <w:numId w:val="11"/>
        </w:numPr>
        <w:spacing w:line="276" w:lineRule="auto"/>
        <w:jc w:val="both"/>
      </w:pPr>
      <w:r w:rsidRPr="004044BE">
        <w:t>in water -</w:t>
      </w:r>
      <w:r w:rsidRPr="004044BE">
        <w:rPr>
          <w:b/>
        </w:rPr>
        <w:t xml:space="preserve"> m</w:t>
      </w:r>
      <w:r w:rsidR="00D06A37" w:rsidRPr="004044BE">
        <w:rPr>
          <w:b/>
        </w:rPr>
        <w:t>ercury</w:t>
      </w:r>
      <w:r w:rsidR="00192ED5" w:rsidRPr="004044BE">
        <w:rPr>
          <w:b/>
        </w:rPr>
        <w:t xml:space="preserve"> </w:t>
      </w:r>
      <w:r w:rsidR="00192ED5" w:rsidRPr="004044BE">
        <w:t>(in 2 points, slightly over the value</w:t>
      </w:r>
      <w:r w:rsidR="000530B0" w:rsidRPr="004044BE">
        <w:t xml:space="preserve"> in unfiltered samples</w:t>
      </w:r>
      <w:r w:rsidR="00192ED5" w:rsidRPr="004044BE">
        <w:t>)</w:t>
      </w:r>
      <w:r w:rsidRPr="004044BE">
        <w:rPr>
          <w:b/>
        </w:rPr>
        <w:t>, c</w:t>
      </w:r>
      <w:r w:rsidR="00D06A37" w:rsidRPr="004044BE">
        <w:rPr>
          <w:b/>
        </w:rPr>
        <w:t>opper</w:t>
      </w:r>
      <w:r w:rsidR="00D06A37" w:rsidRPr="004044BE">
        <w:t xml:space="preserve"> and </w:t>
      </w:r>
      <w:r w:rsidR="00D06A37" w:rsidRPr="004044BE">
        <w:rPr>
          <w:b/>
        </w:rPr>
        <w:t>zinc</w:t>
      </w:r>
      <w:r w:rsidR="00D06A37" w:rsidRPr="004044BE">
        <w:t xml:space="preserve"> </w:t>
      </w:r>
      <w:r w:rsidRPr="004044BE">
        <w:t>(f</w:t>
      </w:r>
      <w:r w:rsidR="00D06A37" w:rsidRPr="004044BE">
        <w:t>requency of exceedance for copper and zinc was 65 % and 15 %, respectively</w:t>
      </w:r>
      <w:r w:rsidRPr="004044BE">
        <w:t xml:space="preserve">), </w:t>
      </w:r>
    </w:p>
    <w:p w14:paraId="572C1456" w14:textId="77777777" w:rsidR="00C575E3" w:rsidRPr="004044BE" w:rsidRDefault="00D06A37" w:rsidP="00D06A37">
      <w:pPr>
        <w:pStyle w:val="a3"/>
        <w:numPr>
          <w:ilvl w:val="0"/>
          <w:numId w:val="11"/>
        </w:numPr>
        <w:spacing w:line="276" w:lineRule="auto"/>
        <w:jc w:val="both"/>
      </w:pPr>
      <w:r w:rsidRPr="004044BE">
        <w:t xml:space="preserve">in sediments </w:t>
      </w:r>
      <w:r w:rsidR="007B763D" w:rsidRPr="004044BE">
        <w:t xml:space="preserve">- </w:t>
      </w:r>
      <w:r w:rsidRPr="004044BE">
        <w:rPr>
          <w:b/>
        </w:rPr>
        <w:t>nickel</w:t>
      </w:r>
      <w:r w:rsidRPr="004044BE">
        <w:t xml:space="preserve"> </w:t>
      </w:r>
      <w:r w:rsidR="007B763D" w:rsidRPr="004044BE">
        <w:t>(</w:t>
      </w:r>
      <w:r w:rsidRPr="004044BE">
        <w:t>FoE 100 % against the Dutch limits</w:t>
      </w:r>
      <w:r w:rsidR="007B763D" w:rsidRPr="004044BE">
        <w:t>)</w:t>
      </w:r>
      <w:r w:rsidRPr="004044BE">
        <w:t xml:space="preserve">, </w:t>
      </w:r>
      <w:r w:rsidRPr="004044BE">
        <w:rPr>
          <w:b/>
        </w:rPr>
        <w:t>chromium</w:t>
      </w:r>
      <w:r w:rsidRPr="004044BE">
        <w:t xml:space="preserve"> (FoE 15 %) and </w:t>
      </w:r>
      <w:r w:rsidRPr="004044BE">
        <w:rPr>
          <w:b/>
        </w:rPr>
        <w:t xml:space="preserve">zinc </w:t>
      </w:r>
      <w:r w:rsidRPr="004044BE">
        <w:t xml:space="preserve">(FoE 8 %). </w:t>
      </w:r>
    </w:p>
    <w:p w14:paraId="5114FDB5" w14:textId="77777777" w:rsidR="00D06A37" w:rsidRPr="004044BE" w:rsidRDefault="00D06A37" w:rsidP="00C575E3">
      <w:pPr>
        <w:spacing w:line="276" w:lineRule="auto"/>
        <w:jc w:val="both"/>
      </w:pPr>
      <w:r w:rsidRPr="004044BE">
        <w:t xml:space="preserve">It should be noted that the current </w:t>
      </w:r>
      <w:r w:rsidR="00C575E3" w:rsidRPr="004044BE">
        <w:t xml:space="preserve">EU </w:t>
      </w:r>
      <w:r w:rsidRPr="004044BE">
        <w:t xml:space="preserve">legislation has trigger values only for 3 out of 4 metals, mercury was taken out from water and has to be measured in fish due to its bioaccumulation potential. Nowadays, it is difficult to make a right conclusion on the situation of metals because of the absence of their trigger values either in EU or the national legislation.   </w:t>
      </w:r>
    </w:p>
    <w:p w14:paraId="2D55FA1F" w14:textId="77777777" w:rsidR="00D06A37" w:rsidRPr="004044BE" w:rsidRDefault="00D06A37" w:rsidP="00723BB4">
      <w:pPr>
        <w:spacing w:line="276" w:lineRule="auto"/>
        <w:jc w:val="both"/>
      </w:pPr>
    </w:p>
    <w:p w14:paraId="56694A48" w14:textId="77777777" w:rsidR="00400034" w:rsidRPr="004044BE" w:rsidRDefault="00400034" w:rsidP="00E2118B">
      <w:pPr>
        <w:shd w:val="clear" w:color="auto" w:fill="B8CCE4" w:themeFill="accent1" w:themeFillTint="66"/>
        <w:spacing w:line="276" w:lineRule="auto"/>
        <w:jc w:val="center"/>
        <w:rPr>
          <w:rFonts w:cs="Calibri"/>
          <w:b/>
        </w:rPr>
      </w:pPr>
      <w:r w:rsidRPr="004044BE">
        <w:rPr>
          <w:rFonts w:cs="Calibri"/>
          <w:b/>
        </w:rPr>
        <w:t xml:space="preserve">Results of </w:t>
      </w:r>
      <w:r w:rsidR="006E7000" w:rsidRPr="004044BE">
        <w:rPr>
          <w:rFonts w:cs="Calibri"/>
          <w:b/>
        </w:rPr>
        <w:t xml:space="preserve">the </w:t>
      </w:r>
      <w:r w:rsidR="00E2118B" w:rsidRPr="004044BE">
        <w:rPr>
          <w:rFonts w:cs="Calibri"/>
          <w:b/>
        </w:rPr>
        <w:t xml:space="preserve">analysis of organic compounds </w:t>
      </w:r>
    </w:p>
    <w:p w14:paraId="20538FE3" w14:textId="77777777" w:rsidR="007527A9" w:rsidRPr="004044BE" w:rsidRDefault="007527A9" w:rsidP="007527A9">
      <w:pPr>
        <w:autoSpaceDE w:val="0"/>
        <w:autoSpaceDN w:val="0"/>
        <w:adjustRightInd w:val="0"/>
        <w:jc w:val="both"/>
        <w:rPr>
          <w:rFonts w:cs="Calibri"/>
          <w:lang w:val="en-GB"/>
        </w:rPr>
      </w:pPr>
    </w:p>
    <w:p w14:paraId="40C3C83D" w14:textId="77777777" w:rsidR="00400034" w:rsidRPr="004044BE" w:rsidRDefault="00400034" w:rsidP="00400034">
      <w:pPr>
        <w:spacing w:line="276" w:lineRule="auto"/>
        <w:jc w:val="center"/>
        <w:rPr>
          <w:rFonts w:cs="Calibri"/>
          <w:b/>
          <w:i/>
        </w:rPr>
      </w:pPr>
      <w:r w:rsidRPr="004044BE">
        <w:rPr>
          <w:rFonts w:cs="Calibri"/>
          <w:b/>
          <w:i/>
        </w:rPr>
        <w:t>Surface water</w:t>
      </w:r>
    </w:p>
    <w:p w14:paraId="31E59EA8" w14:textId="7900A81E" w:rsidR="00723BB4" w:rsidRPr="004044BE" w:rsidRDefault="00401976" w:rsidP="00723BB4">
      <w:pPr>
        <w:spacing w:line="276" w:lineRule="auto"/>
        <w:jc w:val="both"/>
      </w:pPr>
      <w:r w:rsidRPr="004044BE">
        <w:rPr>
          <w:rFonts w:cs="Calibri"/>
        </w:rPr>
        <w:lastRenderedPageBreak/>
        <w:t xml:space="preserve">In total 108 out of 2016 compounds were detected in at least one </w:t>
      </w:r>
      <w:r w:rsidRPr="004044BE">
        <w:rPr>
          <w:rFonts w:cs="Calibri"/>
          <w:b/>
          <w:u w:val="single"/>
        </w:rPr>
        <w:t>surface water</w:t>
      </w:r>
      <w:r w:rsidRPr="004044BE">
        <w:rPr>
          <w:rFonts w:cs="Calibri"/>
        </w:rPr>
        <w:t xml:space="preserve"> sample. </w:t>
      </w:r>
      <w:r w:rsidR="00723BB4" w:rsidRPr="004044BE">
        <w:t xml:space="preserve">The suggested list of </w:t>
      </w:r>
      <w:r w:rsidR="00C06BDB" w:rsidRPr="004044BE">
        <w:t xml:space="preserve">top 10 </w:t>
      </w:r>
      <w:r w:rsidR="00723BB4" w:rsidRPr="004044BE">
        <w:t xml:space="preserve">compounds </w:t>
      </w:r>
      <w:r w:rsidR="00FA099C" w:rsidRPr="004044BE">
        <w:t xml:space="preserve">which pose risk for humans and aquatic life </w:t>
      </w:r>
      <w:r w:rsidR="00723BB4" w:rsidRPr="004044BE">
        <w:t>could be put on the list of the Dniester River Basin Specific Pollutants is as follows.</w:t>
      </w:r>
    </w:p>
    <w:p w14:paraId="51046C58" w14:textId="77777777" w:rsidR="00723BB4" w:rsidRPr="004044BE" w:rsidRDefault="00723BB4" w:rsidP="00723BB4">
      <w:pPr>
        <w:pStyle w:val="a3"/>
        <w:numPr>
          <w:ilvl w:val="0"/>
          <w:numId w:val="4"/>
        </w:numPr>
        <w:spacing w:line="276" w:lineRule="auto"/>
        <w:jc w:val="both"/>
      </w:pPr>
      <w:r w:rsidRPr="004044BE">
        <w:t>Terbut</w:t>
      </w:r>
      <w:r w:rsidR="00C575E3" w:rsidRPr="004044BE">
        <w:t>h</w:t>
      </w:r>
      <w:r w:rsidRPr="004044BE">
        <w:t xml:space="preserve">ylazine </w:t>
      </w:r>
      <w:r w:rsidR="00C575E3" w:rsidRPr="004044BE">
        <w:t>(</w:t>
      </w:r>
      <w:hyperlink r:id="rId7" w:tooltip="Chlorotriazine (page does not exist)" w:history="1">
        <w:r w:rsidR="00C575E3" w:rsidRPr="004044BE">
          <w:t>chlorotriazine</w:t>
        </w:r>
      </w:hyperlink>
      <w:r w:rsidR="00C575E3" w:rsidRPr="004044BE">
        <w:t xml:space="preserve">) </w:t>
      </w:r>
      <w:r w:rsidRPr="004044BE">
        <w:t xml:space="preserve">- is a selective </w:t>
      </w:r>
      <w:hyperlink r:id="rId8" w:tooltip="Herbicide" w:history="1">
        <w:r w:rsidRPr="004044BE">
          <w:t>herbicide</w:t>
        </w:r>
      </w:hyperlink>
      <w:r w:rsidR="00C575E3" w:rsidRPr="004044BE">
        <w:t>,</w:t>
      </w:r>
      <w:r w:rsidRPr="004044BE">
        <w:t xml:space="preserve"> compared with </w:t>
      </w:r>
      <w:hyperlink r:id="rId9" w:tooltip="Atrazine" w:history="1">
        <w:r w:rsidRPr="004044BE">
          <w:t>atrazine</w:t>
        </w:r>
      </w:hyperlink>
      <w:r w:rsidRPr="004044BE">
        <w:t xml:space="preserve"> and </w:t>
      </w:r>
      <w:hyperlink r:id="rId10" w:tooltip="Simazine" w:history="1">
        <w:r w:rsidRPr="004044BE">
          <w:t>simazine</w:t>
        </w:r>
      </w:hyperlink>
      <w:r w:rsidR="002A0F03" w:rsidRPr="004044BE">
        <w:t xml:space="preserve"> (</w:t>
      </w:r>
      <w:r w:rsidR="002A0F03" w:rsidRPr="004044BE">
        <w:rPr>
          <w:rFonts w:cs="Calibri"/>
        </w:rPr>
        <w:t>FoA 77%</w:t>
      </w:r>
      <w:r w:rsidR="002A0F03" w:rsidRPr="004044BE">
        <w:t>)</w:t>
      </w:r>
      <w:r w:rsidRPr="004044BE">
        <w:t>.</w:t>
      </w:r>
    </w:p>
    <w:p w14:paraId="31BD5997" w14:textId="77777777" w:rsidR="00723BB4" w:rsidRPr="004044BE" w:rsidRDefault="00723BB4" w:rsidP="00723BB4">
      <w:pPr>
        <w:pStyle w:val="a3"/>
        <w:numPr>
          <w:ilvl w:val="0"/>
          <w:numId w:val="4"/>
        </w:numPr>
        <w:spacing w:line="276" w:lineRule="auto"/>
        <w:jc w:val="both"/>
      </w:pPr>
      <w:r w:rsidRPr="004044BE">
        <w:t xml:space="preserve">Carbaryl - is a chemical in the </w:t>
      </w:r>
      <w:hyperlink r:id="rId11" w:tooltip="Carbamate" w:history="1">
        <w:r w:rsidRPr="004044BE">
          <w:t>carbamate</w:t>
        </w:r>
      </w:hyperlink>
      <w:r w:rsidRPr="004044BE">
        <w:t xml:space="preserve"> family</w:t>
      </w:r>
      <w:r w:rsidR="00C575E3" w:rsidRPr="004044BE">
        <w:t xml:space="preserve">, </w:t>
      </w:r>
      <w:r w:rsidRPr="004044BE">
        <w:t xml:space="preserve">an </w:t>
      </w:r>
      <w:hyperlink r:id="rId12" w:tooltip="Insecticide" w:history="1">
        <w:r w:rsidRPr="004044BE">
          <w:t>insecticide</w:t>
        </w:r>
      </w:hyperlink>
      <w:r w:rsidR="00401976" w:rsidRPr="004044BE">
        <w:t xml:space="preserve"> (</w:t>
      </w:r>
      <w:r w:rsidR="00401976" w:rsidRPr="004044BE">
        <w:rPr>
          <w:rFonts w:cs="Calibri"/>
        </w:rPr>
        <w:t>FoA 38%</w:t>
      </w:r>
      <w:r w:rsidR="002A0F03" w:rsidRPr="004044BE">
        <w:rPr>
          <w:rFonts w:cs="Calibri"/>
        </w:rPr>
        <w:t>)</w:t>
      </w:r>
      <w:r w:rsidR="00401976" w:rsidRPr="004044BE">
        <w:rPr>
          <w:rFonts w:cs="Calibri"/>
        </w:rPr>
        <w:t>,</w:t>
      </w:r>
    </w:p>
    <w:p w14:paraId="4822C5BB" w14:textId="77777777" w:rsidR="00723BB4" w:rsidRPr="004044BE" w:rsidRDefault="00723BB4" w:rsidP="00723BB4">
      <w:pPr>
        <w:pStyle w:val="a3"/>
        <w:numPr>
          <w:ilvl w:val="0"/>
          <w:numId w:val="4"/>
        </w:numPr>
        <w:spacing w:line="276" w:lineRule="auto"/>
        <w:jc w:val="both"/>
      </w:pPr>
      <w:r w:rsidRPr="004044BE">
        <w:t>Metolachlor – is an organic compound</w:t>
      </w:r>
      <w:r w:rsidR="00C575E3" w:rsidRPr="004044BE">
        <w:t xml:space="preserve">, a </w:t>
      </w:r>
      <w:r w:rsidR="002A0F03" w:rsidRPr="004044BE">
        <w:t>herbicide (</w:t>
      </w:r>
      <w:r w:rsidR="002A0F03" w:rsidRPr="004044BE">
        <w:rPr>
          <w:rFonts w:cs="Calibri"/>
        </w:rPr>
        <w:t>FoA 92%).</w:t>
      </w:r>
    </w:p>
    <w:p w14:paraId="79086288" w14:textId="77777777" w:rsidR="00723BB4" w:rsidRPr="004044BE" w:rsidRDefault="00723BB4" w:rsidP="00723BB4">
      <w:pPr>
        <w:pStyle w:val="a3"/>
        <w:numPr>
          <w:ilvl w:val="0"/>
          <w:numId w:val="4"/>
        </w:numPr>
        <w:spacing w:line="276" w:lineRule="auto"/>
        <w:jc w:val="both"/>
      </w:pPr>
      <w:r w:rsidRPr="004044BE">
        <w:t>Propazine-2-hydroxy –</w:t>
      </w:r>
      <w:r w:rsidR="00C575E3" w:rsidRPr="004044BE">
        <w:t xml:space="preserve"> a </w:t>
      </w:r>
      <w:r w:rsidRPr="004044BE">
        <w:t>herbicid</w:t>
      </w:r>
      <w:r w:rsidR="00C575E3" w:rsidRPr="004044BE">
        <w:t xml:space="preserve">e of a group of </w:t>
      </w:r>
      <w:r w:rsidRPr="004044BE">
        <w:t>terbutylazine</w:t>
      </w:r>
      <w:r w:rsidR="002A0F03" w:rsidRPr="004044BE">
        <w:t xml:space="preserve"> (FoA 69%)</w:t>
      </w:r>
      <w:r w:rsidRPr="004044BE">
        <w:t>.</w:t>
      </w:r>
    </w:p>
    <w:p w14:paraId="51B9062C" w14:textId="77777777" w:rsidR="00723BB4" w:rsidRPr="004044BE" w:rsidRDefault="00723BB4" w:rsidP="00723BB4">
      <w:pPr>
        <w:pStyle w:val="a3"/>
        <w:numPr>
          <w:ilvl w:val="0"/>
          <w:numId w:val="4"/>
        </w:numPr>
        <w:spacing w:line="276" w:lineRule="auto"/>
        <w:jc w:val="both"/>
      </w:pPr>
      <w:r w:rsidRPr="004044BE">
        <w:t xml:space="preserve">Carbamazepine - is an </w:t>
      </w:r>
      <w:hyperlink r:id="rId13" w:tooltip="Anticonvulsant medication" w:history="1">
        <w:r w:rsidRPr="004044BE">
          <w:t>anticonvulsant medication</w:t>
        </w:r>
      </w:hyperlink>
      <w:r w:rsidRPr="004044BE">
        <w:t xml:space="preserve"> </w:t>
      </w:r>
      <w:r w:rsidR="00C575E3" w:rsidRPr="004044BE">
        <w:t xml:space="preserve">to </w:t>
      </w:r>
      <w:r w:rsidRPr="004044BE">
        <w:t xml:space="preserve">primarily </w:t>
      </w:r>
      <w:r w:rsidR="00C575E3" w:rsidRPr="004044BE">
        <w:t xml:space="preserve">treat </w:t>
      </w:r>
      <w:hyperlink r:id="rId14" w:tooltip="Epilepsy" w:history="1">
        <w:r w:rsidRPr="004044BE">
          <w:t>epilepsy</w:t>
        </w:r>
      </w:hyperlink>
      <w:r w:rsidRPr="004044BE">
        <w:t xml:space="preserve"> and </w:t>
      </w:r>
      <w:hyperlink r:id="rId15" w:tooltip="Neuropathic pain" w:history="1">
        <w:r w:rsidRPr="004044BE">
          <w:t>neuropathic pain</w:t>
        </w:r>
      </w:hyperlink>
      <w:r w:rsidR="002A0F03" w:rsidRPr="004044BE">
        <w:t xml:space="preserve"> (</w:t>
      </w:r>
      <w:r w:rsidR="002A0F03" w:rsidRPr="004044BE">
        <w:rPr>
          <w:rFonts w:cs="Calibri"/>
        </w:rPr>
        <w:t>FoA 38%</w:t>
      </w:r>
      <w:r w:rsidR="002A0F03" w:rsidRPr="004044BE">
        <w:t>)</w:t>
      </w:r>
      <w:r w:rsidRPr="004044BE">
        <w:t>.</w:t>
      </w:r>
    </w:p>
    <w:p w14:paraId="422EAF1C" w14:textId="77777777" w:rsidR="00723BB4" w:rsidRPr="004044BE" w:rsidRDefault="00723BB4" w:rsidP="00723BB4">
      <w:pPr>
        <w:pStyle w:val="a3"/>
        <w:numPr>
          <w:ilvl w:val="0"/>
          <w:numId w:val="4"/>
        </w:numPr>
        <w:spacing w:line="276" w:lineRule="auto"/>
        <w:jc w:val="both"/>
      </w:pPr>
      <w:r w:rsidRPr="004044BE">
        <w:t>Fluconazole - is an </w:t>
      </w:r>
      <w:hyperlink r:id="rId16" w:tooltip="Antifungal medication" w:history="1">
        <w:r w:rsidRPr="004044BE">
          <w:t>antifungal medication</w:t>
        </w:r>
      </w:hyperlink>
      <w:r w:rsidR="002A0F03" w:rsidRPr="004044BE">
        <w:t xml:space="preserve"> (</w:t>
      </w:r>
      <w:r w:rsidR="002A0F03" w:rsidRPr="004044BE">
        <w:rPr>
          <w:rFonts w:cs="Calibri"/>
        </w:rPr>
        <w:t>FoA 31%</w:t>
      </w:r>
      <w:r w:rsidR="002A0F03" w:rsidRPr="004044BE">
        <w:t>)</w:t>
      </w:r>
      <w:r w:rsidRPr="004044BE">
        <w:t>.</w:t>
      </w:r>
    </w:p>
    <w:p w14:paraId="140098F2" w14:textId="77777777" w:rsidR="00723BB4" w:rsidRPr="004044BE" w:rsidRDefault="00723BB4" w:rsidP="00723BB4">
      <w:pPr>
        <w:pStyle w:val="a3"/>
        <w:numPr>
          <w:ilvl w:val="0"/>
          <w:numId w:val="4"/>
        </w:numPr>
        <w:spacing w:line="276" w:lineRule="auto"/>
        <w:jc w:val="both"/>
      </w:pPr>
      <w:r w:rsidRPr="004044BE">
        <w:t>Sulfamethoxazole – is an antibiotic</w:t>
      </w:r>
      <w:r w:rsidR="002A0F03" w:rsidRPr="004044BE">
        <w:t xml:space="preserve"> (</w:t>
      </w:r>
      <w:r w:rsidR="002A0F03" w:rsidRPr="004044BE">
        <w:rPr>
          <w:rFonts w:cs="Calibri"/>
        </w:rPr>
        <w:t>FoA 15%</w:t>
      </w:r>
      <w:r w:rsidR="002A0F03" w:rsidRPr="004044BE">
        <w:t>)</w:t>
      </w:r>
      <w:r w:rsidRPr="004044BE">
        <w:t>.</w:t>
      </w:r>
    </w:p>
    <w:p w14:paraId="75F8323C" w14:textId="77777777" w:rsidR="00723BB4" w:rsidRPr="004044BE" w:rsidRDefault="00723BB4" w:rsidP="00723BB4">
      <w:pPr>
        <w:pStyle w:val="a3"/>
        <w:numPr>
          <w:ilvl w:val="0"/>
          <w:numId w:val="4"/>
        </w:numPr>
        <w:spacing w:line="276" w:lineRule="auto"/>
        <w:jc w:val="both"/>
      </w:pPr>
      <w:r w:rsidRPr="004044BE">
        <w:t xml:space="preserve">Acetochlor - </w:t>
      </w:r>
      <w:r w:rsidR="00C575E3" w:rsidRPr="004044BE">
        <w:t xml:space="preserve">is a </w:t>
      </w:r>
      <w:r w:rsidRPr="004044BE">
        <w:t>herbicide</w:t>
      </w:r>
      <w:r w:rsidR="002A0F03" w:rsidRPr="004044BE">
        <w:t xml:space="preserve"> (FoA 23%)</w:t>
      </w:r>
      <w:r w:rsidRPr="004044BE">
        <w:t>.</w:t>
      </w:r>
    </w:p>
    <w:p w14:paraId="4DAC1C16" w14:textId="77777777" w:rsidR="00723BB4" w:rsidRPr="004044BE" w:rsidRDefault="00723BB4" w:rsidP="00723BB4">
      <w:pPr>
        <w:pStyle w:val="a3"/>
        <w:numPr>
          <w:ilvl w:val="0"/>
          <w:numId w:val="4"/>
        </w:numPr>
        <w:spacing w:line="276" w:lineRule="auto"/>
        <w:jc w:val="both"/>
      </w:pPr>
      <w:r w:rsidRPr="004044BE">
        <w:t>Telmisartan - is a medication used to treat high blood pressure, heart failure, and diabetic kidney disease</w:t>
      </w:r>
      <w:r w:rsidR="002A0F03" w:rsidRPr="004044BE">
        <w:t xml:space="preserve"> (FoA </w:t>
      </w:r>
      <w:r w:rsidR="00D06332" w:rsidRPr="004044BE">
        <w:t>15</w:t>
      </w:r>
      <w:r w:rsidR="002A0F03" w:rsidRPr="004044BE">
        <w:t>%)</w:t>
      </w:r>
      <w:r w:rsidRPr="004044BE">
        <w:t xml:space="preserve">.  </w:t>
      </w:r>
    </w:p>
    <w:p w14:paraId="5EBE4E3C" w14:textId="77777777" w:rsidR="00723BB4" w:rsidRPr="004044BE" w:rsidRDefault="00723BB4" w:rsidP="00723BB4">
      <w:pPr>
        <w:pStyle w:val="a3"/>
        <w:numPr>
          <w:ilvl w:val="0"/>
          <w:numId w:val="4"/>
        </w:numPr>
        <w:spacing w:line="276" w:lineRule="auto"/>
        <w:jc w:val="both"/>
      </w:pPr>
      <w:r w:rsidRPr="004044BE">
        <w:t>Triclosan - i</w:t>
      </w:r>
      <w:r w:rsidRPr="004044BE">
        <w:rPr>
          <w:rFonts w:ascii="Arial" w:hAnsi="Arial" w:cs="Arial"/>
          <w:color w:val="222222"/>
          <w:sz w:val="21"/>
          <w:szCs w:val="21"/>
          <w:shd w:val="clear" w:color="auto" w:fill="FFFFFF"/>
        </w:rPr>
        <w:t xml:space="preserve">s </w:t>
      </w:r>
      <w:r w:rsidRPr="004044BE">
        <w:t xml:space="preserve">an </w:t>
      </w:r>
      <w:hyperlink r:id="rId17" w:tooltip="Antibiotic" w:history="1">
        <w:r w:rsidRPr="004044BE">
          <w:t>antibacterial</w:t>
        </w:r>
      </w:hyperlink>
      <w:r w:rsidRPr="004044BE">
        <w:t xml:space="preserve"> and </w:t>
      </w:r>
      <w:hyperlink r:id="rId18" w:tooltip="Fungus" w:history="1">
        <w:r w:rsidRPr="004044BE">
          <w:t>antifungal</w:t>
        </w:r>
      </w:hyperlink>
      <w:r w:rsidRPr="004044BE">
        <w:t xml:space="preserve"> agent present in some consumer products, including toothpaste, </w:t>
      </w:r>
      <w:hyperlink r:id="rId19" w:tooltip="Soap" w:history="1">
        <w:r w:rsidRPr="004044BE">
          <w:t>soaps</w:t>
        </w:r>
      </w:hyperlink>
      <w:r w:rsidRPr="004044BE">
        <w:t>, </w:t>
      </w:r>
      <w:hyperlink r:id="rId20" w:tooltip="Detergent" w:history="1">
        <w:r w:rsidRPr="004044BE">
          <w:t>detergents</w:t>
        </w:r>
      </w:hyperlink>
      <w:r w:rsidRPr="004044BE">
        <w:t>, toys, and surgical cleaning treatments</w:t>
      </w:r>
      <w:r w:rsidR="002A0F03" w:rsidRPr="004044BE">
        <w:t xml:space="preserve"> (FoA 15%)</w:t>
      </w:r>
      <w:r w:rsidRPr="004044BE">
        <w:t>.</w:t>
      </w:r>
    </w:p>
    <w:p w14:paraId="45CC3042" w14:textId="77777777" w:rsidR="00723BB4" w:rsidRPr="004044BE" w:rsidRDefault="00723BB4" w:rsidP="00B07886">
      <w:pPr>
        <w:autoSpaceDE w:val="0"/>
        <w:autoSpaceDN w:val="0"/>
        <w:adjustRightInd w:val="0"/>
        <w:jc w:val="both"/>
        <w:rPr>
          <w:rFonts w:cs="Calibri"/>
        </w:rPr>
      </w:pPr>
    </w:p>
    <w:p w14:paraId="4564335C" w14:textId="4586D329" w:rsidR="00723BB4" w:rsidRPr="004044BE" w:rsidRDefault="00723BB4" w:rsidP="00723BB4">
      <w:pPr>
        <w:spacing w:line="276" w:lineRule="auto"/>
        <w:jc w:val="both"/>
      </w:pPr>
      <w:r w:rsidRPr="004044BE">
        <w:t>There are also the others that deserve the high attention for an additional investigation like</w:t>
      </w:r>
      <w:r w:rsidR="00C06BDB" w:rsidRPr="004044BE">
        <w:t>:</w:t>
      </w:r>
      <w:r w:rsidRPr="004044BE">
        <w:t xml:space="preserve"> caffeine</w:t>
      </w:r>
      <w:r w:rsidR="002A0F03" w:rsidRPr="004044BE">
        <w:t xml:space="preserve"> (a stimulant, </w:t>
      </w:r>
      <w:r w:rsidR="002A0F03" w:rsidRPr="004044BE">
        <w:rPr>
          <w:rFonts w:cs="Calibri"/>
        </w:rPr>
        <w:t>FoA 77%)</w:t>
      </w:r>
      <w:r w:rsidRPr="004044BE">
        <w:t>, lidocaine-N-oxide</w:t>
      </w:r>
      <w:r w:rsidR="002A0F03" w:rsidRPr="004044BE">
        <w:t xml:space="preserve"> (</w:t>
      </w:r>
      <w:r w:rsidR="002A0F03" w:rsidRPr="004044BE">
        <w:rPr>
          <w:rFonts w:cs="Calibri"/>
        </w:rPr>
        <w:t>FoA 23%</w:t>
      </w:r>
      <w:r w:rsidR="002A0F03" w:rsidRPr="004044BE">
        <w:t>)</w:t>
      </w:r>
      <w:r w:rsidRPr="004044BE">
        <w:t>, dimethoate</w:t>
      </w:r>
      <w:r w:rsidR="002A0F03" w:rsidRPr="004044BE">
        <w:t xml:space="preserve"> (a pesticide, FoA 15 %)</w:t>
      </w:r>
      <w:r w:rsidRPr="004044BE">
        <w:t>, omethoate</w:t>
      </w:r>
      <w:r w:rsidR="002A0F03" w:rsidRPr="004044BE">
        <w:t xml:space="preserve"> (a pesticide, FoA 15%)</w:t>
      </w:r>
      <w:r w:rsidRPr="004044BE">
        <w:t>, nicosulfuron</w:t>
      </w:r>
      <w:r w:rsidR="002A0F03" w:rsidRPr="004044BE">
        <w:t xml:space="preserve"> (a pesticide, FoA</w:t>
      </w:r>
      <w:r w:rsidR="00D06332" w:rsidRPr="004044BE">
        <w:t xml:space="preserve"> 15</w:t>
      </w:r>
      <w:r w:rsidR="002A0F03" w:rsidRPr="004044BE">
        <w:t>%)</w:t>
      </w:r>
      <w:r w:rsidRPr="004044BE">
        <w:t xml:space="preserve">, ephedrine </w:t>
      </w:r>
      <w:r w:rsidR="002A0F03" w:rsidRPr="004044BE">
        <w:t>(</w:t>
      </w:r>
      <w:r w:rsidR="002A0F03" w:rsidRPr="004044BE">
        <w:rPr>
          <w:rFonts w:cs="Calibri"/>
        </w:rPr>
        <w:t>illicit drugs, FoA 62%</w:t>
      </w:r>
      <w:r w:rsidR="002A0F03" w:rsidRPr="004044BE">
        <w:t xml:space="preserve">) </w:t>
      </w:r>
      <w:r w:rsidRPr="004044BE">
        <w:t>as well compounds belong</w:t>
      </w:r>
      <w:r w:rsidR="00401976" w:rsidRPr="004044BE">
        <w:t>ing</w:t>
      </w:r>
      <w:r w:rsidRPr="004044BE">
        <w:t xml:space="preserve"> to </w:t>
      </w:r>
      <w:r w:rsidR="00401976" w:rsidRPr="004044BE">
        <w:t xml:space="preserve">a </w:t>
      </w:r>
      <w:r w:rsidRPr="004044BE">
        <w:t xml:space="preserve">group of plasticizers, flame retardants, surfactants and pharmaceuticals. </w:t>
      </w:r>
    </w:p>
    <w:p w14:paraId="30133307" w14:textId="77777777" w:rsidR="00723BB4" w:rsidRPr="004044BE" w:rsidRDefault="00723BB4" w:rsidP="00723BB4">
      <w:pPr>
        <w:spacing w:line="276" w:lineRule="auto"/>
        <w:jc w:val="both"/>
      </w:pPr>
    </w:p>
    <w:p w14:paraId="6B996EE1" w14:textId="77777777" w:rsidR="00D06332" w:rsidRPr="004044BE" w:rsidRDefault="00D06332" w:rsidP="00D06332">
      <w:pPr>
        <w:autoSpaceDE w:val="0"/>
        <w:autoSpaceDN w:val="0"/>
        <w:adjustRightInd w:val="0"/>
        <w:jc w:val="both"/>
        <w:rPr>
          <w:rFonts w:cs="Calibri"/>
        </w:rPr>
      </w:pPr>
      <w:r w:rsidRPr="004044BE">
        <w:rPr>
          <w:rFonts w:cs="Calibri"/>
        </w:rPr>
        <w:t xml:space="preserve">Detected compounds at concentrations exceeding their PNEC values that may pose a risk for the environment are as follows: </w:t>
      </w:r>
    </w:p>
    <w:p w14:paraId="783F97AF" w14:textId="77777777" w:rsidR="00D06332" w:rsidRPr="004044BE" w:rsidRDefault="00D06332" w:rsidP="00400034">
      <w:pPr>
        <w:pStyle w:val="a3"/>
        <w:numPr>
          <w:ilvl w:val="0"/>
          <w:numId w:val="12"/>
        </w:numPr>
        <w:autoSpaceDE w:val="0"/>
        <w:autoSpaceDN w:val="0"/>
        <w:adjustRightInd w:val="0"/>
        <w:jc w:val="both"/>
        <w:rPr>
          <w:rFonts w:cs="Calibri"/>
        </w:rPr>
      </w:pPr>
      <w:r w:rsidRPr="004044BE">
        <w:rPr>
          <w:rFonts w:cs="Calibri"/>
          <w:b/>
        </w:rPr>
        <w:t>Carbendazim</w:t>
      </w:r>
      <w:r w:rsidRPr="004044BE">
        <w:rPr>
          <w:rFonts w:cs="Calibri"/>
        </w:rPr>
        <w:t xml:space="preserve"> (</w:t>
      </w:r>
      <w:r w:rsidR="007527A9" w:rsidRPr="004044BE">
        <w:rPr>
          <w:rFonts w:cs="Calibri"/>
        </w:rPr>
        <w:t xml:space="preserve">a </w:t>
      </w:r>
      <w:r w:rsidRPr="004044BE">
        <w:rPr>
          <w:rFonts w:cs="Calibri"/>
        </w:rPr>
        <w:t xml:space="preserve">pesticide, PNEC 150 ng/l , </w:t>
      </w:r>
      <w:r w:rsidRPr="004044BE">
        <w:rPr>
          <w:rFonts w:cs="Calibri"/>
          <w:b/>
        </w:rPr>
        <w:t>755 ng/l - SP 11, FoA 69%</w:t>
      </w:r>
      <w:r w:rsidRPr="004044BE">
        <w:rPr>
          <w:rFonts w:cs="Calibri"/>
        </w:rPr>
        <w:t>),</w:t>
      </w:r>
    </w:p>
    <w:p w14:paraId="3AAB0EC8" w14:textId="77777777" w:rsidR="00D06332" w:rsidRPr="004044BE" w:rsidRDefault="00D06332" w:rsidP="00400034">
      <w:pPr>
        <w:pStyle w:val="a3"/>
        <w:numPr>
          <w:ilvl w:val="0"/>
          <w:numId w:val="12"/>
        </w:numPr>
        <w:autoSpaceDE w:val="0"/>
        <w:autoSpaceDN w:val="0"/>
        <w:adjustRightInd w:val="0"/>
        <w:jc w:val="both"/>
        <w:rPr>
          <w:rFonts w:cs="Calibri"/>
        </w:rPr>
      </w:pPr>
      <w:r w:rsidRPr="004044BE">
        <w:rPr>
          <w:rFonts w:cs="Calibri"/>
          <w:b/>
        </w:rPr>
        <w:t>Fipronil</w:t>
      </w:r>
      <w:r w:rsidRPr="004044BE">
        <w:rPr>
          <w:rFonts w:cs="Calibri"/>
        </w:rPr>
        <w:t xml:space="preserve"> (</w:t>
      </w:r>
      <w:r w:rsidR="007527A9" w:rsidRPr="004044BE">
        <w:rPr>
          <w:rFonts w:cs="Calibri"/>
        </w:rPr>
        <w:t>a pesticide</w:t>
      </w:r>
      <w:r w:rsidRPr="004044BE">
        <w:rPr>
          <w:rFonts w:cs="Calibri"/>
        </w:rPr>
        <w:t xml:space="preserve">, PNEC 0.77 ng/l, </w:t>
      </w:r>
      <w:r w:rsidRPr="004044BE">
        <w:rPr>
          <w:rFonts w:cs="Calibri"/>
          <w:b/>
        </w:rPr>
        <w:t>3 ng/l - SP 11, FoA 7%</w:t>
      </w:r>
      <w:r w:rsidRPr="004044BE">
        <w:rPr>
          <w:rFonts w:cs="Calibri"/>
        </w:rPr>
        <w:t xml:space="preserve">), </w:t>
      </w:r>
    </w:p>
    <w:p w14:paraId="4F62F263" w14:textId="77777777" w:rsidR="00D06332" w:rsidRPr="004044BE" w:rsidRDefault="00D06332" w:rsidP="00400034">
      <w:pPr>
        <w:pStyle w:val="a3"/>
        <w:numPr>
          <w:ilvl w:val="0"/>
          <w:numId w:val="12"/>
        </w:numPr>
        <w:autoSpaceDE w:val="0"/>
        <w:autoSpaceDN w:val="0"/>
        <w:adjustRightInd w:val="0"/>
        <w:jc w:val="both"/>
        <w:rPr>
          <w:rFonts w:cs="Calibri"/>
        </w:rPr>
      </w:pPr>
      <w:r w:rsidRPr="004044BE">
        <w:rPr>
          <w:rFonts w:cs="Calibri"/>
          <w:b/>
        </w:rPr>
        <w:t>Metazachlor</w:t>
      </w:r>
      <w:r w:rsidRPr="004044BE">
        <w:rPr>
          <w:rFonts w:cs="Calibri"/>
        </w:rPr>
        <w:t xml:space="preserve"> (</w:t>
      </w:r>
      <w:r w:rsidR="007527A9" w:rsidRPr="004044BE">
        <w:rPr>
          <w:rFonts w:cs="Calibri"/>
        </w:rPr>
        <w:t>a pesticide</w:t>
      </w:r>
      <w:r w:rsidRPr="004044BE">
        <w:rPr>
          <w:rFonts w:cs="Calibri"/>
        </w:rPr>
        <w:t xml:space="preserve">, PNEC 20 ng/l, </w:t>
      </w:r>
      <w:r w:rsidRPr="004044BE">
        <w:rPr>
          <w:rFonts w:cs="Calibri"/>
          <w:b/>
        </w:rPr>
        <w:t>28.5 ng/l - SP 10, FoA 7%</w:t>
      </w:r>
      <w:r w:rsidR="00400034" w:rsidRPr="004044BE">
        <w:rPr>
          <w:rFonts w:cs="Calibri"/>
        </w:rPr>
        <w:t xml:space="preserve">). </w:t>
      </w:r>
    </w:p>
    <w:p w14:paraId="21F990BD" w14:textId="77777777" w:rsidR="00D06332" w:rsidRPr="004044BE" w:rsidRDefault="00D06332" w:rsidP="00723BB4">
      <w:pPr>
        <w:spacing w:line="276" w:lineRule="auto"/>
        <w:jc w:val="both"/>
      </w:pPr>
    </w:p>
    <w:p w14:paraId="7E327527" w14:textId="77777777" w:rsidR="007527A9" w:rsidRPr="004044BE" w:rsidRDefault="007527A9" w:rsidP="007527A9">
      <w:pPr>
        <w:jc w:val="both"/>
      </w:pPr>
      <w:r w:rsidRPr="004044BE">
        <w:t xml:space="preserve">Two major classes of </w:t>
      </w:r>
      <w:r w:rsidR="006E7000" w:rsidRPr="004044BE">
        <w:t xml:space="preserve">so called </w:t>
      </w:r>
      <w:r w:rsidRPr="004044BE">
        <w:t>emerging contaminants detected</w:t>
      </w:r>
      <w:r w:rsidR="00C43039" w:rsidRPr="004044BE">
        <w:t xml:space="preserve"> are:</w:t>
      </w:r>
      <w:r w:rsidRPr="004044BE">
        <w:t xml:space="preserve"> </w:t>
      </w:r>
    </w:p>
    <w:p w14:paraId="70C558D8" w14:textId="77777777" w:rsidR="00C43039" w:rsidRPr="004044BE" w:rsidRDefault="00C43039" w:rsidP="006E7000">
      <w:pPr>
        <w:pStyle w:val="a3"/>
        <w:numPr>
          <w:ilvl w:val="0"/>
          <w:numId w:val="13"/>
        </w:numPr>
        <w:ind w:left="709" w:hanging="425"/>
        <w:jc w:val="both"/>
      </w:pPr>
      <w:r w:rsidRPr="004044BE">
        <w:rPr>
          <w:b/>
          <w:bCs/>
        </w:rPr>
        <w:t>industrial chemicals</w:t>
      </w:r>
      <w:r w:rsidRPr="004044BE">
        <w:t>, including</w:t>
      </w:r>
    </w:p>
    <w:p w14:paraId="5DEE4416" w14:textId="77777777" w:rsidR="00C43039" w:rsidRPr="004044BE" w:rsidRDefault="007527A9" w:rsidP="00C43039">
      <w:pPr>
        <w:pStyle w:val="a3"/>
        <w:numPr>
          <w:ilvl w:val="0"/>
          <w:numId w:val="12"/>
        </w:numPr>
        <w:ind w:left="1560" w:hanging="426"/>
        <w:jc w:val="both"/>
      </w:pPr>
      <w:r w:rsidRPr="004044BE">
        <w:t xml:space="preserve">7 </w:t>
      </w:r>
      <w:r w:rsidRPr="004044BE">
        <w:rPr>
          <w:i/>
          <w:u w:val="single"/>
        </w:rPr>
        <w:t>plasticizers</w:t>
      </w:r>
      <w:r w:rsidR="00C43039" w:rsidRPr="004044BE">
        <w:t>, a</w:t>
      </w:r>
      <w:r w:rsidRPr="004044BE">
        <w:t>ll of them having remarkable occurrence and very high frequency of appearance (FoA above 50%)</w:t>
      </w:r>
      <w:r w:rsidR="00C43039" w:rsidRPr="004044BE">
        <w:t>,</w:t>
      </w:r>
    </w:p>
    <w:p w14:paraId="18B6F64F" w14:textId="77777777" w:rsidR="00C43039" w:rsidRPr="004044BE" w:rsidRDefault="00C43039" w:rsidP="00C43039">
      <w:pPr>
        <w:pStyle w:val="a3"/>
        <w:numPr>
          <w:ilvl w:val="0"/>
          <w:numId w:val="12"/>
        </w:numPr>
        <w:ind w:left="1560" w:hanging="426"/>
        <w:jc w:val="both"/>
      </w:pPr>
      <w:r w:rsidRPr="004044BE">
        <w:rPr>
          <w:i/>
          <w:u w:val="single"/>
        </w:rPr>
        <w:t>a</w:t>
      </w:r>
      <w:r w:rsidR="007527A9" w:rsidRPr="004044BE">
        <w:rPr>
          <w:i/>
          <w:u w:val="single"/>
        </w:rPr>
        <w:t>dditives in industry</w:t>
      </w:r>
      <w:r w:rsidRPr="004044BE">
        <w:rPr>
          <w:i/>
          <w:u w:val="single"/>
        </w:rPr>
        <w:t>,</w:t>
      </w:r>
      <w:r w:rsidRPr="004044BE">
        <w:t xml:space="preserve"> e.g. </w:t>
      </w:r>
      <w:r w:rsidR="007527A9" w:rsidRPr="004044BE">
        <w:rPr>
          <w:rFonts w:cs="Calibri"/>
          <w:color w:val="000000"/>
        </w:rPr>
        <w:t xml:space="preserve">chemicals </w:t>
      </w:r>
      <w:r w:rsidRPr="004044BE">
        <w:rPr>
          <w:rFonts w:cs="Calibri"/>
          <w:color w:val="000000"/>
        </w:rPr>
        <w:t xml:space="preserve">with </w:t>
      </w:r>
      <w:r w:rsidR="007527A9" w:rsidRPr="004044BE">
        <w:rPr>
          <w:rFonts w:cs="Calibri"/>
          <w:color w:val="000000"/>
        </w:rPr>
        <w:t>anti-microbial activity and additives used in food industry (</w:t>
      </w:r>
      <w:r w:rsidRPr="004044BE">
        <w:rPr>
          <w:rFonts w:cs="Calibri"/>
          <w:color w:val="000000"/>
        </w:rPr>
        <w:t>e.g. g</w:t>
      </w:r>
      <w:r w:rsidR="007527A9" w:rsidRPr="004044BE">
        <w:rPr>
          <w:rFonts w:cs="Calibri"/>
          <w:color w:val="000000"/>
        </w:rPr>
        <w:t>lycerol monostearate</w:t>
      </w:r>
      <w:r w:rsidRPr="004044BE">
        <w:rPr>
          <w:rFonts w:cs="Calibri"/>
          <w:color w:val="000000"/>
        </w:rPr>
        <w:t>),</w:t>
      </w:r>
    </w:p>
    <w:p w14:paraId="3E13E0E8" w14:textId="77777777" w:rsidR="007527A9" w:rsidRPr="004044BE" w:rsidRDefault="007527A9" w:rsidP="00C43039">
      <w:pPr>
        <w:pStyle w:val="a3"/>
        <w:numPr>
          <w:ilvl w:val="0"/>
          <w:numId w:val="12"/>
        </w:numPr>
        <w:ind w:left="1560" w:hanging="426"/>
        <w:jc w:val="both"/>
      </w:pPr>
      <w:r w:rsidRPr="004044BE">
        <w:rPr>
          <w:rFonts w:cs="Calibri"/>
          <w:color w:val="000000"/>
        </w:rPr>
        <w:t xml:space="preserve">5 </w:t>
      </w:r>
      <w:r w:rsidRPr="004044BE">
        <w:rPr>
          <w:rFonts w:cs="Calibri"/>
          <w:i/>
          <w:color w:val="000000"/>
          <w:u w:val="single"/>
        </w:rPr>
        <w:t>surfactants</w:t>
      </w:r>
      <w:r w:rsidRPr="004044BE">
        <w:rPr>
          <w:rFonts w:cs="Calibri"/>
          <w:color w:val="000000"/>
        </w:rPr>
        <w:t>.</w:t>
      </w:r>
      <w:r w:rsidRPr="004044BE">
        <w:t xml:space="preserve"> </w:t>
      </w:r>
    </w:p>
    <w:p w14:paraId="1BA80491" w14:textId="77777777" w:rsidR="007527A9" w:rsidRPr="004044BE" w:rsidRDefault="00C43039" w:rsidP="006E7000">
      <w:pPr>
        <w:pStyle w:val="a3"/>
        <w:numPr>
          <w:ilvl w:val="0"/>
          <w:numId w:val="13"/>
        </w:numPr>
        <w:ind w:left="709" w:hanging="425"/>
        <w:jc w:val="both"/>
      </w:pPr>
      <w:r w:rsidRPr="004044BE">
        <w:rPr>
          <w:b/>
          <w:bCs/>
        </w:rPr>
        <w:t>p</w:t>
      </w:r>
      <w:r w:rsidR="007527A9" w:rsidRPr="004044BE">
        <w:rPr>
          <w:b/>
          <w:bCs/>
        </w:rPr>
        <w:t>harmaceuticals</w:t>
      </w:r>
      <w:r w:rsidRPr="004044BE">
        <w:rPr>
          <w:rFonts w:cs="Calibri"/>
          <w:b/>
          <w:color w:val="000000"/>
        </w:rPr>
        <w:t xml:space="preserve"> </w:t>
      </w:r>
      <w:r w:rsidRPr="004044BE">
        <w:rPr>
          <w:rFonts w:cs="Calibri"/>
          <w:color w:val="000000"/>
        </w:rPr>
        <w:t>of</w:t>
      </w:r>
      <w:r w:rsidRPr="004044BE">
        <w:rPr>
          <w:rFonts w:cs="Calibri"/>
          <w:b/>
          <w:color w:val="000000"/>
        </w:rPr>
        <w:t xml:space="preserve"> </w:t>
      </w:r>
      <w:r w:rsidR="007527A9" w:rsidRPr="004044BE">
        <w:rPr>
          <w:rFonts w:cs="Calibri"/>
          <w:color w:val="000000"/>
        </w:rPr>
        <w:t>6 compounds</w:t>
      </w:r>
      <w:r w:rsidRPr="004044BE">
        <w:rPr>
          <w:rFonts w:cs="Calibri"/>
          <w:color w:val="000000"/>
        </w:rPr>
        <w:t xml:space="preserve"> which are used for </w:t>
      </w:r>
      <w:r w:rsidR="007527A9" w:rsidRPr="004044BE">
        <w:rPr>
          <w:rFonts w:cs="Calibri"/>
          <w:color w:val="000000"/>
        </w:rPr>
        <w:t xml:space="preserve">bile curation, </w:t>
      </w:r>
      <w:r w:rsidRPr="004044BE">
        <w:rPr>
          <w:rFonts w:cs="Calibri"/>
          <w:color w:val="000000"/>
        </w:rPr>
        <w:t xml:space="preserve">as an </w:t>
      </w:r>
      <w:r w:rsidR="007527A9" w:rsidRPr="004044BE">
        <w:t>antiviral drug</w:t>
      </w:r>
      <w:r w:rsidR="007527A9" w:rsidRPr="004044BE">
        <w:rPr>
          <w:rFonts w:cs="Calibri"/>
          <w:color w:val="000000"/>
        </w:rPr>
        <w:t xml:space="preserve">, </w:t>
      </w:r>
      <w:r w:rsidR="007527A9" w:rsidRPr="004044BE">
        <w:t>analgesic,</w:t>
      </w:r>
      <w:r w:rsidR="007527A9" w:rsidRPr="004044BE">
        <w:rPr>
          <w:rFonts w:cs="Calibri"/>
          <w:color w:val="000000"/>
        </w:rPr>
        <w:t xml:space="preserve"> antidepressants and cosmetic pharmaceutical.</w:t>
      </w:r>
    </w:p>
    <w:p w14:paraId="17C3F1D0" w14:textId="77777777" w:rsidR="007527A9" w:rsidRPr="004044BE" w:rsidRDefault="007527A9" w:rsidP="00723BB4">
      <w:pPr>
        <w:spacing w:line="276" w:lineRule="auto"/>
        <w:jc w:val="both"/>
      </w:pPr>
    </w:p>
    <w:p w14:paraId="532088CF" w14:textId="77777777" w:rsidR="00400034" w:rsidRPr="004044BE" w:rsidRDefault="00400034" w:rsidP="00400034">
      <w:pPr>
        <w:spacing w:line="276" w:lineRule="auto"/>
        <w:jc w:val="center"/>
      </w:pPr>
      <w:r w:rsidRPr="004044BE">
        <w:rPr>
          <w:b/>
          <w:i/>
        </w:rPr>
        <w:t>Sediments</w:t>
      </w:r>
    </w:p>
    <w:p w14:paraId="222D5BA5" w14:textId="77777777" w:rsidR="00400034" w:rsidRPr="004044BE" w:rsidRDefault="00400034" w:rsidP="00400034">
      <w:pPr>
        <w:autoSpaceDE w:val="0"/>
        <w:autoSpaceDN w:val="0"/>
        <w:adjustRightInd w:val="0"/>
        <w:jc w:val="both"/>
        <w:rPr>
          <w:rFonts w:cs="Calibri"/>
        </w:rPr>
      </w:pPr>
      <w:r w:rsidRPr="004044BE">
        <w:rPr>
          <w:rFonts w:cs="Calibri"/>
        </w:rPr>
        <w:t xml:space="preserve">In 4 </w:t>
      </w:r>
      <w:r w:rsidRPr="00B11A92">
        <w:rPr>
          <w:rFonts w:cs="Calibri"/>
        </w:rPr>
        <w:t>sediment</w:t>
      </w:r>
      <w:r w:rsidRPr="004044BE">
        <w:rPr>
          <w:rFonts w:cs="Calibri"/>
        </w:rPr>
        <w:t xml:space="preserve"> extracts in total 10 out of 2016 compounds were detected. The highest number of detected compounds was observed in Zalishchyky</w:t>
      </w:r>
      <w:r w:rsidR="006E7000" w:rsidRPr="004044BE">
        <w:rPr>
          <w:rFonts w:cs="Calibri"/>
        </w:rPr>
        <w:t xml:space="preserve"> (</w:t>
      </w:r>
      <w:r w:rsidRPr="004044BE">
        <w:rPr>
          <w:rFonts w:cs="Calibri"/>
        </w:rPr>
        <w:t>upstream the Dniester reservoir, Ukraine</w:t>
      </w:r>
      <w:r w:rsidR="006E7000" w:rsidRPr="004044BE">
        <w:rPr>
          <w:rFonts w:cs="Calibri"/>
        </w:rPr>
        <w:t xml:space="preserve">), where inter alia </w:t>
      </w:r>
      <w:r w:rsidRPr="004044BE">
        <w:rPr>
          <w:rFonts w:cs="Calibri"/>
        </w:rPr>
        <w:t xml:space="preserve">pesticides Carbendazim </w:t>
      </w:r>
      <w:r w:rsidR="006E7000" w:rsidRPr="004044BE">
        <w:rPr>
          <w:rFonts w:cs="Calibri"/>
        </w:rPr>
        <w:t>and</w:t>
      </w:r>
      <w:r w:rsidRPr="004044BE">
        <w:rPr>
          <w:rFonts w:cs="Calibri"/>
        </w:rPr>
        <w:t xml:space="preserve"> Azoxystrobin </w:t>
      </w:r>
      <w:r w:rsidR="006E7000" w:rsidRPr="004044BE">
        <w:rPr>
          <w:rFonts w:cs="Calibri"/>
        </w:rPr>
        <w:t>were detected above their PNEC.</w:t>
      </w:r>
    </w:p>
    <w:p w14:paraId="412198BE" w14:textId="77777777" w:rsidR="00400034" w:rsidRPr="004044BE" w:rsidRDefault="00400034" w:rsidP="00400034">
      <w:pPr>
        <w:autoSpaceDE w:val="0"/>
        <w:autoSpaceDN w:val="0"/>
        <w:adjustRightInd w:val="0"/>
        <w:jc w:val="both"/>
        <w:rPr>
          <w:rFonts w:cs="Calibri"/>
        </w:rPr>
      </w:pPr>
    </w:p>
    <w:p w14:paraId="40ED75A8" w14:textId="77777777" w:rsidR="00400034" w:rsidRPr="004044BE" w:rsidRDefault="00400034" w:rsidP="00400034">
      <w:pPr>
        <w:autoSpaceDE w:val="0"/>
        <w:autoSpaceDN w:val="0"/>
        <w:adjustRightInd w:val="0"/>
        <w:jc w:val="center"/>
        <w:rPr>
          <w:rFonts w:cs="Calibri"/>
        </w:rPr>
      </w:pPr>
      <w:r w:rsidRPr="004044BE">
        <w:rPr>
          <w:rFonts w:cs="Calibri"/>
          <w:b/>
          <w:i/>
        </w:rPr>
        <w:lastRenderedPageBreak/>
        <w:t>Fish</w:t>
      </w:r>
    </w:p>
    <w:p w14:paraId="70C7968E" w14:textId="77777777" w:rsidR="00400034" w:rsidRPr="004044BE" w:rsidRDefault="007527A9" w:rsidP="00400034">
      <w:pPr>
        <w:autoSpaceDE w:val="0"/>
        <w:autoSpaceDN w:val="0"/>
        <w:adjustRightInd w:val="0"/>
        <w:jc w:val="both"/>
        <w:rPr>
          <w:rFonts w:cs="Calibri"/>
        </w:rPr>
      </w:pPr>
      <w:r w:rsidRPr="004044BE">
        <w:rPr>
          <w:rFonts w:cs="Calibri"/>
        </w:rPr>
        <w:t xml:space="preserve">In </w:t>
      </w:r>
      <w:r w:rsidR="006E7000" w:rsidRPr="004044BE">
        <w:rPr>
          <w:rFonts w:cs="Calibri"/>
        </w:rPr>
        <w:t>3</w:t>
      </w:r>
      <w:r w:rsidR="00400034" w:rsidRPr="004044BE">
        <w:rPr>
          <w:rFonts w:cs="Calibri"/>
        </w:rPr>
        <w:t xml:space="preserve"> </w:t>
      </w:r>
      <w:r w:rsidR="00400034" w:rsidRPr="004044BE">
        <w:rPr>
          <w:rFonts w:cs="Calibri"/>
          <w:b/>
          <w:u w:val="single"/>
        </w:rPr>
        <w:t>fish extracts</w:t>
      </w:r>
      <w:r w:rsidR="00400034" w:rsidRPr="004044BE">
        <w:rPr>
          <w:rFonts w:cs="Calibri"/>
        </w:rPr>
        <w:t xml:space="preserve"> in total 2 out of 2016 compounds were detected</w:t>
      </w:r>
      <w:r w:rsidR="006E7000" w:rsidRPr="004044BE">
        <w:rPr>
          <w:rFonts w:cs="Calibri"/>
        </w:rPr>
        <w:t>. T</w:t>
      </w:r>
      <w:r w:rsidR="00400034" w:rsidRPr="004044BE">
        <w:rPr>
          <w:rFonts w:cs="Calibri"/>
        </w:rPr>
        <w:t xml:space="preserve">he highest number of detected compounds was observed in </w:t>
      </w:r>
      <w:r w:rsidR="006E7000" w:rsidRPr="004044BE">
        <w:rPr>
          <w:rFonts w:cs="Calibri"/>
        </w:rPr>
        <w:t xml:space="preserve">the mouth of the </w:t>
      </w:r>
      <w:r w:rsidR="00400034" w:rsidRPr="004044BE">
        <w:rPr>
          <w:rFonts w:cs="Calibri"/>
        </w:rPr>
        <w:t xml:space="preserve">Reut </w:t>
      </w:r>
      <w:r w:rsidR="006E7000" w:rsidRPr="004044BE">
        <w:rPr>
          <w:rFonts w:cs="Calibri"/>
        </w:rPr>
        <w:t xml:space="preserve">river in </w:t>
      </w:r>
      <w:r w:rsidR="00400034" w:rsidRPr="004044BE">
        <w:rPr>
          <w:rFonts w:cs="Calibri"/>
        </w:rPr>
        <w:t>Moldova</w:t>
      </w:r>
      <w:r w:rsidR="006E7000" w:rsidRPr="004044BE">
        <w:rPr>
          <w:rFonts w:cs="Calibri"/>
        </w:rPr>
        <w:t xml:space="preserve">, a pharmaceutical </w:t>
      </w:r>
      <w:r w:rsidR="00400034" w:rsidRPr="004044BE">
        <w:rPr>
          <w:rFonts w:cs="Calibri"/>
        </w:rPr>
        <w:t>Tolycaine</w:t>
      </w:r>
      <w:r w:rsidR="006E7000" w:rsidRPr="004044BE">
        <w:rPr>
          <w:rFonts w:cs="Calibri"/>
        </w:rPr>
        <w:t xml:space="preserve"> is worth paying attention to there.</w:t>
      </w:r>
    </w:p>
    <w:p w14:paraId="33E7AE56" w14:textId="77777777" w:rsidR="00400034" w:rsidRPr="004044BE" w:rsidRDefault="00400034" w:rsidP="00723BB4">
      <w:pPr>
        <w:spacing w:line="276" w:lineRule="auto"/>
        <w:jc w:val="both"/>
      </w:pPr>
    </w:p>
    <w:p w14:paraId="5A17F0AF" w14:textId="77777777" w:rsidR="006E7000" w:rsidRPr="004044BE" w:rsidRDefault="006E7000"/>
    <w:p w14:paraId="63794270" w14:textId="77777777" w:rsidR="00E2118B" w:rsidRPr="004044BE" w:rsidRDefault="00E2118B"/>
    <w:p w14:paraId="3DF6ACDD" w14:textId="77777777" w:rsidR="004127FD" w:rsidRPr="004044BE" w:rsidRDefault="004127FD"/>
    <w:p w14:paraId="3B525C86" w14:textId="77777777" w:rsidR="00E2118B" w:rsidRPr="004044BE" w:rsidRDefault="00E2118B"/>
    <w:p w14:paraId="61B44A08" w14:textId="3DEA0471" w:rsidR="006E7000" w:rsidRDefault="006E7000">
      <w:r w:rsidRPr="004044BE">
        <w:rPr>
          <w:rFonts w:cs="Calibri"/>
        </w:rPr>
        <w:t xml:space="preserve">*The research was supported by the GEF-backed Dniester project in line with the ToR agreed on by the two riparian states. The work was performed by the </w:t>
      </w:r>
      <w:r w:rsidRPr="004044BE">
        <w:t>Environmental Institute (Slovakia,</w:t>
      </w:r>
      <w:r w:rsidRPr="004044BE">
        <w:rPr>
          <w:b/>
        </w:rPr>
        <w:t xml:space="preserve"> </w:t>
      </w:r>
      <w:hyperlink r:id="rId21" w:history="1">
        <w:r w:rsidRPr="004044BE">
          <w:rPr>
            <w:rStyle w:val="a7"/>
          </w:rPr>
          <w:t>https://www.ei.sk</w:t>
        </w:r>
      </w:hyperlink>
      <w:r w:rsidRPr="004044BE">
        <w:t>).</w:t>
      </w:r>
      <w:r w:rsidRPr="004044BE">
        <w:rPr>
          <w:b/>
        </w:rPr>
        <w:t xml:space="preserve"> </w:t>
      </w:r>
      <w:r w:rsidRPr="004044BE">
        <w:rPr>
          <w:rFonts w:cs="Calibri"/>
        </w:rPr>
        <w:t>Sampling was carried out in May 2019, analysis was done in June-July</w:t>
      </w:r>
      <w:r w:rsidR="00B55224" w:rsidRPr="00B55224">
        <w:rPr>
          <w:rFonts w:cs="Calibri"/>
          <w:lang w:val="en-GB"/>
        </w:rPr>
        <w:t xml:space="preserve"> 2019</w:t>
      </w:r>
      <w:r w:rsidRPr="004044BE">
        <w:rPr>
          <w:rFonts w:cs="Calibri"/>
        </w:rPr>
        <w:t>.</w:t>
      </w:r>
    </w:p>
    <w:sectPr w:rsidR="006E7000" w:rsidSect="00E04737">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2D73"/>
    <w:multiLevelType w:val="hybridMultilevel"/>
    <w:tmpl w:val="45A2A3BA"/>
    <w:lvl w:ilvl="0" w:tplc="4EE2CDC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7417230"/>
    <w:multiLevelType w:val="hybridMultilevel"/>
    <w:tmpl w:val="D06C3CC8"/>
    <w:lvl w:ilvl="0" w:tplc="73FC11D8">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C29AB"/>
    <w:multiLevelType w:val="hybridMultilevel"/>
    <w:tmpl w:val="289068CA"/>
    <w:lvl w:ilvl="0" w:tplc="1F46321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E0BEC"/>
    <w:multiLevelType w:val="hybridMultilevel"/>
    <w:tmpl w:val="3A26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E7933"/>
    <w:multiLevelType w:val="hybridMultilevel"/>
    <w:tmpl w:val="5F2A3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583"/>
    <w:multiLevelType w:val="hybridMultilevel"/>
    <w:tmpl w:val="2AA8FE98"/>
    <w:lvl w:ilvl="0" w:tplc="22929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72863"/>
    <w:multiLevelType w:val="hybridMultilevel"/>
    <w:tmpl w:val="2C74B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71770"/>
    <w:multiLevelType w:val="hybridMultilevel"/>
    <w:tmpl w:val="A942B45E"/>
    <w:lvl w:ilvl="0" w:tplc="35F0B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5148C"/>
    <w:multiLevelType w:val="hybridMultilevel"/>
    <w:tmpl w:val="0DE2E084"/>
    <w:lvl w:ilvl="0" w:tplc="73FC11D8">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761D2"/>
    <w:multiLevelType w:val="hybridMultilevel"/>
    <w:tmpl w:val="E4C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12678"/>
    <w:multiLevelType w:val="hybridMultilevel"/>
    <w:tmpl w:val="2412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75F8A"/>
    <w:multiLevelType w:val="hybridMultilevel"/>
    <w:tmpl w:val="142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D2F4F"/>
    <w:multiLevelType w:val="hybridMultilevel"/>
    <w:tmpl w:val="416AF708"/>
    <w:lvl w:ilvl="0" w:tplc="DDE0635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6"/>
  </w:num>
  <w:num w:numId="5">
    <w:abstractNumId w:val="9"/>
  </w:num>
  <w:num w:numId="6">
    <w:abstractNumId w:val="3"/>
  </w:num>
  <w:num w:numId="7">
    <w:abstractNumId w:val="12"/>
  </w:num>
  <w:num w:numId="8">
    <w:abstractNumId w:val="4"/>
  </w:num>
  <w:num w:numId="9">
    <w:abstractNumId w:val="7"/>
  </w:num>
  <w:num w:numId="10">
    <w:abstractNumId w:val="0"/>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86"/>
    <w:rsid w:val="000530B0"/>
    <w:rsid w:val="00181133"/>
    <w:rsid w:val="00192ED5"/>
    <w:rsid w:val="0021109E"/>
    <w:rsid w:val="002A0F03"/>
    <w:rsid w:val="003071A9"/>
    <w:rsid w:val="00400034"/>
    <w:rsid w:val="00401976"/>
    <w:rsid w:val="004044BE"/>
    <w:rsid w:val="004127FD"/>
    <w:rsid w:val="005F70B5"/>
    <w:rsid w:val="00684FC6"/>
    <w:rsid w:val="006E7000"/>
    <w:rsid w:val="00723BB4"/>
    <w:rsid w:val="0075184C"/>
    <w:rsid w:val="007527A9"/>
    <w:rsid w:val="007B763D"/>
    <w:rsid w:val="007F1D15"/>
    <w:rsid w:val="008226DC"/>
    <w:rsid w:val="00885AE7"/>
    <w:rsid w:val="008E6223"/>
    <w:rsid w:val="00932601"/>
    <w:rsid w:val="00957D88"/>
    <w:rsid w:val="00AC1B96"/>
    <w:rsid w:val="00AD477B"/>
    <w:rsid w:val="00B07886"/>
    <w:rsid w:val="00B11A92"/>
    <w:rsid w:val="00B55224"/>
    <w:rsid w:val="00C06BDB"/>
    <w:rsid w:val="00C43039"/>
    <w:rsid w:val="00C575E3"/>
    <w:rsid w:val="00C72E4D"/>
    <w:rsid w:val="00C74CDD"/>
    <w:rsid w:val="00C76F0A"/>
    <w:rsid w:val="00CA453E"/>
    <w:rsid w:val="00D06332"/>
    <w:rsid w:val="00D06A37"/>
    <w:rsid w:val="00DE548F"/>
    <w:rsid w:val="00E04737"/>
    <w:rsid w:val="00E2118B"/>
    <w:rsid w:val="00FA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7152"/>
  <w15:docId w15:val="{C86BF23A-072F-43BE-B742-5071BCB0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07886"/>
    <w:pPr>
      <w:spacing w:after="0" w:line="240" w:lineRule="auto"/>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7886"/>
    <w:pPr>
      <w:ind w:left="720"/>
      <w:contextualSpacing/>
    </w:pPr>
  </w:style>
  <w:style w:type="character" w:customStyle="1" w:styleId="a4">
    <w:name w:val="Абзац списку Знак"/>
    <w:link w:val="a3"/>
    <w:uiPriority w:val="34"/>
    <w:rsid w:val="00B07886"/>
    <w:rPr>
      <w:rFonts w:ascii="Calibri" w:eastAsia="Times New Roman" w:hAnsi="Calibri" w:cs="Times New Roman"/>
      <w:sz w:val="24"/>
      <w:szCs w:val="24"/>
    </w:rPr>
  </w:style>
  <w:style w:type="paragraph" w:styleId="a5">
    <w:name w:val="Balloon Text"/>
    <w:basedOn w:val="a"/>
    <w:link w:val="a6"/>
    <w:uiPriority w:val="99"/>
    <w:semiHidden/>
    <w:unhideWhenUsed/>
    <w:rsid w:val="00723BB4"/>
    <w:rPr>
      <w:rFonts w:ascii="Tahoma" w:hAnsi="Tahoma" w:cs="Tahoma"/>
      <w:sz w:val="16"/>
      <w:szCs w:val="16"/>
    </w:rPr>
  </w:style>
  <w:style w:type="character" w:customStyle="1" w:styleId="a6">
    <w:name w:val="Текст у виносці Знак"/>
    <w:basedOn w:val="a0"/>
    <w:link w:val="a5"/>
    <w:uiPriority w:val="99"/>
    <w:semiHidden/>
    <w:rsid w:val="00723BB4"/>
    <w:rPr>
      <w:rFonts w:ascii="Tahoma" w:eastAsia="Times New Roman" w:hAnsi="Tahoma" w:cs="Tahoma"/>
      <w:sz w:val="16"/>
      <w:szCs w:val="16"/>
    </w:rPr>
  </w:style>
  <w:style w:type="character" w:styleId="a7">
    <w:name w:val="Hyperlink"/>
    <w:basedOn w:val="a0"/>
    <w:uiPriority w:val="99"/>
    <w:unhideWhenUsed/>
    <w:rsid w:val="007F1D15"/>
    <w:rPr>
      <w:color w:val="0000FF"/>
      <w:u w:val="single"/>
    </w:rPr>
  </w:style>
  <w:style w:type="character" w:styleId="a8">
    <w:name w:val="annotation reference"/>
    <w:basedOn w:val="a0"/>
    <w:uiPriority w:val="99"/>
    <w:semiHidden/>
    <w:unhideWhenUsed/>
    <w:rsid w:val="007B763D"/>
    <w:rPr>
      <w:sz w:val="16"/>
      <w:szCs w:val="16"/>
    </w:rPr>
  </w:style>
  <w:style w:type="paragraph" w:styleId="a9">
    <w:name w:val="annotation text"/>
    <w:basedOn w:val="a"/>
    <w:link w:val="aa"/>
    <w:uiPriority w:val="99"/>
    <w:semiHidden/>
    <w:unhideWhenUsed/>
    <w:rsid w:val="007B763D"/>
    <w:rPr>
      <w:sz w:val="20"/>
      <w:szCs w:val="20"/>
    </w:rPr>
  </w:style>
  <w:style w:type="character" w:customStyle="1" w:styleId="aa">
    <w:name w:val="Текст примітки Знак"/>
    <w:basedOn w:val="a0"/>
    <w:link w:val="a9"/>
    <w:uiPriority w:val="99"/>
    <w:semiHidden/>
    <w:rsid w:val="007B763D"/>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7B763D"/>
    <w:rPr>
      <w:b/>
      <w:bCs/>
    </w:rPr>
  </w:style>
  <w:style w:type="character" w:customStyle="1" w:styleId="ac">
    <w:name w:val="Тема примітки Знак"/>
    <w:basedOn w:val="aa"/>
    <w:link w:val="ab"/>
    <w:uiPriority w:val="99"/>
    <w:semiHidden/>
    <w:rsid w:val="007B763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96458">
      <w:bodyDiv w:val="1"/>
      <w:marLeft w:val="0"/>
      <w:marRight w:val="0"/>
      <w:marTop w:val="0"/>
      <w:marBottom w:val="0"/>
      <w:divBdr>
        <w:top w:val="none" w:sz="0" w:space="0" w:color="auto"/>
        <w:left w:val="none" w:sz="0" w:space="0" w:color="auto"/>
        <w:bottom w:val="none" w:sz="0" w:space="0" w:color="auto"/>
        <w:right w:val="none" w:sz="0" w:space="0" w:color="auto"/>
      </w:divBdr>
      <w:divsChild>
        <w:div w:id="65394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rbicide" TargetMode="External"/><Relationship Id="rId13" Type="http://schemas.openxmlformats.org/officeDocument/2006/relationships/hyperlink" Target="https://en.wikipedia.org/wiki/Anticonvulsant_medication" TargetMode="External"/><Relationship Id="rId18" Type="http://schemas.openxmlformats.org/officeDocument/2006/relationships/hyperlink" Target="https://en.wikipedia.org/wiki/Fungus" TargetMode="External"/><Relationship Id="rId3" Type="http://schemas.openxmlformats.org/officeDocument/2006/relationships/styles" Target="styles.xml"/><Relationship Id="rId21" Type="http://schemas.openxmlformats.org/officeDocument/2006/relationships/hyperlink" Target="https://www.ei.sk" TargetMode="External"/><Relationship Id="rId7" Type="http://schemas.openxmlformats.org/officeDocument/2006/relationships/hyperlink" Target="https://en.wikipedia.org/w/index.php?title=Chlorotriazine&amp;action=edit&amp;redlink=1" TargetMode="External"/><Relationship Id="rId12" Type="http://schemas.openxmlformats.org/officeDocument/2006/relationships/hyperlink" Target="https://en.wikipedia.org/wiki/Insecticide" TargetMode="External"/><Relationship Id="rId17" Type="http://schemas.openxmlformats.org/officeDocument/2006/relationships/hyperlink" Target="https://en.wikipedia.org/wiki/Antibiotic" TargetMode="External"/><Relationship Id="rId2" Type="http://schemas.openxmlformats.org/officeDocument/2006/relationships/numbering" Target="numbering.xml"/><Relationship Id="rId16" Type="http://schemas.openxmlformats.org/officeDocument/2006/relationships/hyperlink" Target="https://en.wikipedia.org/wiki/Antifungal_medication" TargetMode="External"/><Relationship Id="rId20" Type="http://schemas.openxmlformats.org/officeDocument/2006/relationships/hyperlink" Target="https://en.wikipedia.org/wiki/Detergent"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en.wikipedia.org/wiki/Carbamate" TargetMode="External"/><Relationship Id="rId5" Type="http://schemas.openxmlformats.org/officeDocument/2006/relationships/webSettings" Target="webSettings.xml"/><Relationship Id="rId15" Type="http://schemas.openxmlformats.org/officeDocument/2006/relationships/hyperlink" Target="https://en.wikipedia.org/wiki/Neuropathic_pain" TargetMode="External"/><Relationship Id="rId23" Type="http://schemas.openxmlformats.org/officeDocument/2006/relationships/theme" Target="theme/theme1.xml"/><Relationship Id="rId10" Type="http://schemas.openxmlformats.org/officeDocument/2006/relationships/hyperlink" Target="https://en.wikipedia.org/wiki/Simazine" TargetMode="External"/><Relationship Id="rId19" Type="http://schemas.openxmlformats.org/officeDocument/2006/relationships/hyperlink" Target="https://en.wikipedia.org/wiki/Soap" TargetMode="External"/><Relationship Id="rId4" Type="http://schemas.openxmlformats.org/officeDocument/2006/relationships/settings" Target="settings.xml"/><Relationship Id="rId9" Type="http://schemas.openxmlformats.org/officeDocument/2006/relationships/hyperlink" Target="https://en.wikipedia.org/wiki/Atrazine" TargetMode="External"/><Relationship Id="rId14" Type="http://schemas.openxmlformats.org/officeDocument/2006/relationships/hyperlink" Target="https://en.wikipedia.org/wiki/Epileps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wal\Documents\Documents\2019\UA_Moldova\UoA\Dniester%20project_Results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AA3-4B40-8216-9A454B0E7DB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AA3-4B40-8216-9A454B0E7DB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AA3-4B40-8216-9A454B0E7DB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AA3-4B40-8216-9A454B0E7DB9}"/>
              </c:ext>
            </c:extLst>
          </c:dPt>
          <c:dPt>
            <c:idx val="4"/>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6AA3-4B40-8216-9A454B0E7DB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AA3-4B40-8216-9A454B0E7DB9}"/>
              </c:ext>
            </c:extLst>
          </c:dPt>
          <c:dLbls>
            <c:dLbl>
              <c:idx val="0"/>
              <c:layout>
                <c:manualLayout>
                  <c:x val="-0.20385625628572129"/>
                  <c:y val="2.20810396526880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A3-4B40-8216-9A454B0E7DB9}"/>
                </c:ext>
              </c:extLst>
            </c:dLbl>
            <c:dLbl>
              <c:idx val="1"/>
              <c:layout>
                <c:manualLayout>
                  <c:x val="0.30097064316684619"/>
                  <c:y val="-0.25256542878796734"/>
                </c:manualLayout>
              </c:layout>
              <c:showLegendKey val="0"/>
              <c:showVal val="0"/>
              <c:showCatName val="1"/>
              <c:showSerName val="0"/>
              <c:showPercent val="1"/>
              <c:showBubbleSize val="0"/>
              <c:extLst>
                <c:ext xmlns:c15="http://schemas.microsoft.com/office/drawing/2012/chart" uri="{CE6537A1-D6FC-4f65-9D91-7224C49458BB}">
                  <c15:layout>
                    <c:manualLayout>
                      <c:w val="0.25559380378657487"/>
                      <c:h val="0.15769754109683659"/>
                    </c:manualLayout>
                  </c15:layout>
                </c:ext>
                <c:ext xmlns:c16="http://schemas.microsoft.com/office/drawing/2014/chart" uri="{C3380CC4-5D6E-409C-BE32-E72D297353CC}">
                  <c16:uniqueId val="{00000003-6AA3-4B40-8216-9A454B0E7DB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ID4096"/>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'River water'!$A$118:$A$123</c:f>
              <c:strCache>
                <c:ptCount val="6"/>
                <c:pt idx="0">
                  <c:v>Pesticides</c:v>
                </c:pt>
                <c:pt idx="1">
                  <c:v>Pharmaceuticals</c:v>
                </c:pt>
                <c:pt idx="2">
                  <c:v>Illicit drugs</c:v>
                </c:pt>
                <c:pt idx="3">
                  <c:v>Stimulants</c:v>
                </c:pt>
                <c:pt idx="4">
                  <c:v>Sweeteners</c:v>
                </c:pt>
                <c:pt idx="5">
                  <c:v>Industrial chemicals</c:v>
                </c:pt>
              </c:strCache>
            </c:strRef>
          </c:cat>
          <c:val>
            <c:numRef>
              <c:f>'River water'!$B$118:$B$123</c:f>
              <c:numCache>
                <c:formatCode>General</c:formatCode>
                <c:ptCount val="6"/>
                <c:pt idx="0">
                  <c:v>44</c:v>
                </c:pt>
                <c:pt idx="1">
                  <c:v>40</c:v>
                </c:pt>
                <c:pt idx="2">
                  <c:v>4</c:v>
                </c:pt>
                <c:pt idx="3">
                  <c:v>4</c:v>
                </c:pt>
                <c:pt idx="4">
                  <c:v>3</c:v>
                </c:pt>
                <c:pt idx="5">
                  <c:v>11</c:v>
                </c:pt>
              </c:numCache>
            </c:numRef>
          </c:val>
          <c:extLst>
            <c:ext xmlns:c16="http://schemas.microsoft.com/office/drawing/2014/chart" uri="{C3380CC4-5D6E-409C-BE32-E72D297353CC}">
              <c16:uniqueId val="{0000000C-6AA3-4B40-8216-9A454B0E7DB9}"/>
            </c:ext>
          </c:extLst>
        </c:ser>
        <c:dLbls>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F234-57E5-46DF-AFBB-25C72880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Application>Microsoft Office Word</Application>
  <DocSecurity>0</DocSecurity>
  <Lines>56</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OSCE</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Chechel, Kateryna (FAOUA)</cp:lastModifiedBy>
  <cp:revision>2</cp:revision>
  <dcterms:created xsi:type="dcterms:W3CDTF">2019-11-06T14:00:00Z</dcterms:created>
  <dcterms:modified xsi:type="dcterms:W3CDTF">2019-11-06T14:00:00Z</dcterms:modified>
</cp:coreProperties>
</file>